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w:t>
      </w:r>
    </w:p>
    <w:p>
      <w:pPr>
        <w:pStyle w:val="Normal"/>
        <w:shd w:val="clear" w:color="auto" w:fill="FFFFFF"/>
        <w:tabs>
          <w:tab w:val="clear" w:pos="709"/>
          <w:tab w:val="right" w:pos="9639" w:leader="none"/>
        </w:tabs>
        <w:jc w:val="right"/>
        <w:rPr>
          <w:bCs/>
          <w:sz w:val="24"/>
          <w:szCs w:val="24"/>
        </w:rPr>
      </w:pPr>
      <w:r>
        <w:rPr>
          <w:bCs/>
          <w:sz w:val="24"/>
          <w:szCs w:val="24"/>
        </w:rPr>
        <w:t>г. Якутск</w:t>
        <w:tab/>
        <w:t xml:space="preserve">   «___» _________ 20__ г.</w:t>
      </w:r>
    </w:p>
    <w:p>
      <w:pPr>
        <w:pStyle w:val="Normal"/>
        <w:shd w:val="clear" w:color="auto" w:fill="FFFFFF"/>
        <w:tabs>
          <w:tab w:val="clear" w:pos="709"/>
          <w:tab w:val="right" w:pos="9639" w:leader="none"/>
        </w:tabs>
        <w:ind w:firstLine="709"/>
        <w:jc w:val="right"/>
        <w:rPr>
          <w:bCs/>
          <w:sz w:val="24"/>
          <w:szCs w:val="24"/>
        </w:rPr>
      </w:pPr>
      <w:r>
        <w:rPr>
          <w:bCs/>
          <w:sz w:val="24"/>
          <w:szCs w:val="24"/>
        </w:rPr>
      </w:r>
    </w:p>
    <w:p>
      <w:pPr>
        <w:pStyle w:val="Normal"/>
        <w:ind w:firstLine="709"/>
        <w:jc w:val="both"/>
        <w:rPr>
          <w:sz w:val="24"/>
          <w:szCs w:val="24"/>
          <w:lang w:eastAsia="en-US"/>
        </w:rPr>
      </w:pPr>
      <w:r>
        <w:rPr>
          <w:b/>
          <w:sz w:val="24"/>
          <w:szCs w:val="24"/>
        </w:rPr>
        <w:t>Публичное акционерное общество «Якутскэнерго» (ПАО «Якутскэнерго»)</w:t>
      </w:r>
      <w:r>
        <w:rPr>
          <w:spacing w:val="2"/>
          <w:sz w:val="24"/>
          <w:szCs w:val="24"/>
        </w:rPr>
        <w:t xml:space="preserve">, (далее – </w:t>
      </w:r>
      <w:r>
        <w:rPr>
          <w:sz w:val="24"/>
          <w:szCs w:val="24"/>
        </w:rPr>
        <w:t>«Покупатель»), в лице</w:t>
      </w:r>
      <w:r>
        <w:rPr/>
        <w:t xml:space="preserve"> </w:t>
      </w:r>
      <w:r>
        <w:rPr>
          <w:spacing w:val="4"/>
          <w:sz w:val="24"/>
          <w:szCs w:val="24"/>
        </w:rPr>
        <w:t xml:space="preserve">заместителя генерального директора по управлению ресурсами Разживина Леонида Владимировича, действующего на основании доверенности bccdef85-2f74-4263-9927-8bdcde751133 </w:t>
      </w:r>
      <w:r>
        <w:rPr>
          <w:bCs/>
          <w:spacing w:val="4"/>
          <w:sz w:val="24"/>
          <w:szCs w:val="24"/>
        </w:rPr>
        <w:t>от «02» июня 2026 года</w:t>
      </w:r>
      <w:bookmarkStart w:id="0" w:name="_GoBack"/>
      <w:bookmarkEnd w:id="0"/>
      <w:r>
        <w:rPr>
          <w:spacing w:val="4"/>
          <w:sz w:val="24"/>
          <w:szCs w:val="24"/>
        </w:rPr>
        <w:t>, с одной стороны, и</w:t>
      </w:r>
      <w:r>
        <w:rPr>
          <w:spacing w:val="10"/>
          <w:sz w:val="24"/>
          <w:szCs w:val="24"/>
        </w:rPr>
        <w:t xml:space="preserve"> </w:t>
      </w:r>
      <w:r>
        <w:rPr>
          <w:b/>
          <w:sz w:val="24"/>
          <w:szCs w:val="24"/>
        </w:rPr>
        <w:t xml:space="preserve">_________________________ </w:t>
      </w:r>
      <w:r>
        <w:rPr>
          <w:sz w:val="24"/>
          <w:szCs w:val="24"/>
        </w:rPr>
        <w:t xml:space="preserve">(далее – «Поставщик»), в лице </w:t>
      </w:r>
      <w:r>
        <w:rPr>
          <w:b/>
          <w:sz w:val="24"/>
          <w:szCs w:val="24"/>
        </w:rPr>
        <w:t>_______________________</w:t>
      </w:r>
      <w:r>
        <w:rPr>
          <w:sz w:val="24"/>
          <w:szCs w:val="24"/>
        </w:rPr>
        <w:t xml:space="preserve">, действующего на основании </w:t>
      </w:r>
      <w:r>
        <w:rPr>
          <w:spacing w:val="4"/>
          <w:sz w:val="24"/>
          <w:szCs w:val="24"/>
        </w:rPr>
        <w:t>________________</w:t>
      </w:r>
      <w:r>
        <w:rPr>
          <w:sz w:val="24"/>
          <w:szCs w:val="24"/>
        </w:rPr>
        <w:t xml:space="preserve">, с другой стороны, совместно в дальнейшем именуемые «Стороны», а по отдельности – «Сторона», </w:t>
      </w:r>
    </w:p>
    <w:p>
      <w:pPr>
        <w:pStyle w:val="Normal"/>
        <w:ind w:firstLine="709"/>
        <w:jc w:val="both"/>
        <w:rPr>
          <w:sz w:val="24"/>
          <w:szCs w:val="24"/>
          <w:lang w:eastAsia="en-US"/>
        </w:rPr>
      </w:pPr>
      <w:r>
        <w:rPr>
          <w:sz w:val="24"/>
          <w:szCs w:val="24"/>
          <w:lang w:eastAsia="en-US"/>
        </w:rPr>
        <w:t>по результатам проведенной Покупателем упрощенной закупки по лоту №77</w:t>
      </w:r>
      <w:r>
        <w:rPr>
          <w:sz w:val="24"/>
          <w:szCs w:val="24"/>
          <w:lang w:eastAsia="en-US"/>
        </w:rPr>
        <w:t>5</w:t>
      </w:r>
      <w:r>
        <w:rPr>
          <w:sz w:val="24"/>
          <w:szCs w:val="24"/>
          <w:lang w:eastAsia="en-US"/>
        </w:rPr>
        <w:t>01-ЭКСП ПРОД-2026-ЯЭ «</w:t>
      </w:r>
      <w:r>
        <w:rPr>
          <w:b w:val="false"/>
          <w:i w:val="false"/>
          <w:strike w:val="false"/>
          <w:dstrike w:val="false"/>
          <w:outline w:val="false"/>
          <w:shadow w:val="false"/>
          <w:sz w:val="24"/>
          <w:szCs w:val="24"/>
          <w:u w:val="none"/>
          <w:em w:val="none"/>
          <w:lang w:eastAsia="en-US"/>
        </w:rPr>
        <w:t>О</w:t>
      </w:r>
      <w:r>
        <w:rPr>
          <w:b w:val="false"/>
          <w:i w:val="false"/>
          <w:strike w:val="false"/>
          <w:dstrike w:val="false"/>
          <w:outline w:val="false"/>
          <w:shadow w:val="false"/>
          <w:sz w:val="24"/>
          <w:szCs w:val="24"/>
          <w:u w:val="none"/>
          <w:em w:val="none"/>
        </w:rPr>
        <w:t>КПД2 27.51.21.190 Поставка приборов бытовых электрических для Каскада Вилюйских ГЭС им.Е.Н. Батенчука в рамках эксплуатационных расходов</w:t>
      </w:r>
      <w:r>
        <w:rPr>
          <w:sz w:val="24"/>
          <w:szCs w:val="24"/>
          <w:lang w:eastAsia="en-US"/>
        </w:rPr>
        <w:t>»  и на основании аналитической записки от «___» _________ г. №_______, за</w:t>
      </w:r>
      <w:r>
        <w:rPr>
          <w:sz w:val="24"/>
          <w:szCs w:val="24"/>
        </w:rPr>
        <w:t>ключили настоящий договор поставки (далее – «Договор») о нижеследующем:</w:t>
      </w:r>
    </w:p>
    <w:p>
      <w:pPr>
        <w:pStyle w:val="Normal"/>
        <w:shd w:val="clear" w:color="auto" w:fill="FFFFFF"/>
        <w:ind w:firstLine="709"/>
        <w:rPr>
          <w:bCs/>
          <w:sz w:val="24"/>
          <w:szCs w:val="24"/>
          <w:lang w:val="x-none"/>
        </w:rPr>
      </w:pPr>
      <w:r>
        <w:rPr>
          <w:bCs/>
          <w:sz w:val="24"/>
          <w:szCs w:val="24"/>
          <w:lang w:val="x-none"/>
        </w:rPr>
      </w:r>
    </w:p>
    <w:p>
      <w:pPr>
        <w:pStyle w:val="Normal"/>
        <w:shd w:val="clear" w:color="auto" w:fill="FFFFFF"/>
        <w:ind w:firstLine="709"/>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ind w:left="0" w:firstLine="709"/>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9"/>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eastAsia="en-US"/>
        </w:rPr>
        <w:t xml:space="preserve">«Партия Товара» </w:t>
      </w:r>
      <w:r>
        <w:rPr>
          <w:rFonts w:ascii="Times New Roman" w:hAnsi="Times New Roman"/>
          <w:b w:val="false"/>
          <w:color w:val="auto"/>
          <w:sz w:val="24"/>
          <w:szCs w:val="24"/>
          <w:lang w:eastAsia="en-US"/>
        </w:rPr>
        <w:t xml:space="preserve">– часть Товара, единовременно поставляемая Покупателю Поставщиком, </w:t>
      </w:r>
      <w:r>
        <w:rPr>
          <w:rFonts w:ascii="Times New Roman" w:hAnsi="Times New Roman"/>
          <w:b w:val="false"/>
          <w:color w:val="auto"/>
          <w:sz w:val="24"/>
          <w:szCs w:val="24"/>
          <w:lang w:val="ru-RU" w:eastAsia="en-US"/>
        </w:rPr>
        <w:t>характеристики</w:t>
      </w:r>
      <w:r>
        <w:rPr>
          <w:rFonts w:ascii="Times New Roman" w:hAnsi="Times New Roman"/>
          <w:b w:val="false"/>
          <w:color w:val="auto"/>
          <w:sz w:val="24"/>
          <w:szCs w:val="24"/>
          <w:lang w:eastAsia="en-US"/>
        </w:rPr>
        <w:t xml:space="preserve"> которой определя</w:t>
      </w:r>
      <w:r>
        <w:rPr>
          <w:rFonts w:ascii="Times New Roman" w:hAnsi="Times New Roman"/>
          <w:b w:val="false"/>
          <w:color w:val="auto"/>
          <w:sz w:val="24"/>
          <w:szCs w:val="24"/>
          <w:lang w:val="ru-RU" w:eastAsia="en-US"/>
        </w:rPr>
        <w:t>ю</w:t>
      </w:r>
      <w:r>
        <w:rPr>
          <w:rFonts w:ascii="Times New Roman" w:hAnsi="Times New Roman"/>
          <w:b w:val="false"/>
          <w:color w:val="auto"/>
          <w:sz w:val="24"/>
          <w:szCs w:val="24"/>
          <w:lang w:eastAsia="en-US"/>
        </w:rPr>
        <w:t xml:space="preserve">тся </w:t>
      </w:r>
      <w:r>
        <w:rPr>
          <w:rFonts w:ascii="Times New Roman" w:hAnsi="Times New Roman"/>
          <w:b w:val="false"/>
          <w:color w:val="auto"/>
          <w:sz w:val="24"/>
          <w:szCs w:val="24"/>
          <w:lang w:val="ru-RU" w:eastAsia="en-US"/>
        </w:rPr>
        <w:t xml:space="preserve">Заявкой Покупателя в соответствии со </w:t>
      </w:r>
      <w:r>
        <w:rPr>
          <w:rFonts w:ascii="Times New Roman" w:hAnsi="Times New Roman"/>
          <w:b w:val="false"/>
          <w:color w:val="auto"/>
          <w:sz w:val="24"/>
          <w:szCs w:val="24"/>
          <w:lang w:eastAsia="en-US"/>
        </w:rPr>
        <w:t>Спецификацией, являющейся приложением к Договору.</w:t>
      </w:r>
    </w:p>
    <w:p>
      <w:pPr>
        <w:pStyle w:val="Heading3"/>
        <w:keepNext w:val="false"/>
        <w:tabs>
          <w:tab w:val="clear" w:pos="709"/>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spacing w:before="0" w:after="0"/>
        <w:ind w:firstLine="709"/>
        <w:jc w:val="both"/>
        <w:textAlignment w:val="baseline"/>
        <w:rPr>
          <w:rFonts w:ascii="Times New Roman" w:hAnsi="Times New Roman"/>
          <w:b w:val="false"/>
          <w:i/>
          <w:i/>
          <w:color w:val="000000" w:themeColor="text1"/>
          <w:sz w:val="24"/>
          <w:szCs w:val="24"/>
          <w:lang w:val="ru-RU" w:eastAsia="en-US"/>
        </w:rPr>
      </w:pPr>
      <w:r>
        <w:rPr>
          <w:rFonts w:ascii="Times New Roman" w:hAnsi="Times New Roman"/>
          <w:color w:val="000000" w:themeColor="text1"/>
          <w:sz w:val="24"/>
          <w:szCs w:val="24"/>
          <w:lang w:val="ru-RU" w:eastAsia="en-US"/>
        </w:rPr>
        <w:t xml:space="preserve">«Счет-фактура» - </w:t>
      </w:r>
      <w:r>
        <w:rPr>
          <w:rFonts w:ascii="Times New Roman" w:hAnsi="Times New Roman"/>
          <w:b w:val="false"/>
          <w:color w:val="000000" w:themeColor="text1"/>
          <w:sz w:val="24"/>
          <w:szCs w:val="24"/>
          <w:lang w:val="ru-RU" w:eastAsia="en-US"/>
        </w:rPr>
        <w:t xml:space="preserve">документ, применяемый при расчетах по налогу на добавленную стоимость. </w:t>
      </w:r>
      <w:r>
        <w:rPr>
          <w:rFonts w:ascii="Times New Roman" w:hAnsi="Times New Roman"/>
          <w:b w:val="false"/>
          <w:i/>
          <w:color w:val="5B9BD5" w:themeColor="accent1"/>
          <w:sz w:val="24"/>
          <w:szCs w:val="24"/>
          <w:lang w:val="ru-RU" w:eastAsia="en-US"/>
        </w:rPr>
        <w:t>*(</w:t>
      </w:r>
      <w:r>
        <w:rPr>
          <w:rFonts w:ascii="Times New Roman" w:hAnsi="Times New Roman"/>
          <w:b w:val="false"/>
          <w:i/>
          <w:sz w:val="24"/>
          <w:szCs w:val="24"/>
          <w:highlight w:val="lightGray"/>
        </w:rPr>
        <w:t>если поставщик является плательщиком НДС</w:t>
      </w:r>
      <w:r>
        <w:rPr>
          <w:rFonts w:ascii="Times New Roman" w:hAnsi="Times New Roman"/>
          <w:b w:val="false"/>
          <w:i/>
          <w:color w:val="5B9BD5" w:themeColor="accent1"/>
          <w:sz w:val="24"/>
          <w:szCs w:val="24"/>
          <w:lang w:val="ru-RU" w:eastAsia="en-US"/>
        </w:rPr>
        <w:t>).</w:t>
      </w:r>
    </w:p>
    <w:p>
      <w:pPr>
        <w:pStyle w:val="Normal"/>
        <w:ind w:firstLine="709"/>
        <w:jc w:val="both"/>
        <w:rPr>
          <w:color w:val="000000"/>
          <w:sz w:val="24"/>
          <w:szCs w:val="24"/>
          <w:shd w:fill="FFFFFF" w:val="clear"/>
        </w:rPr>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fill="FFFFFF" w:val="clear"/>
        </w:rPr>
        <w:t>документ, сочетающий в себе функции и реквизиты первичного учетного документа и счета-фактуры.</w:t>
      </w:r>
    </w:p>
    <w:p>
      <w:pPr>
        <w:pStyle w:val="Heading3"/>
        <w:keepNext w:val="false"/>
        <w:tabs>
          <w:tab w:val="clear" w:pos="709"/>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pPr>
        <w:pStyle w:val="Normal"/>
        <w:ind w:firstLine="709"/>
        <w:jc w:val="center"/>
        <w:rPr>
          <w:b/>
          <w:bCs/>
          <w:sz w:val="24"/>
          <w:szCs w:val="24"/>
        </w:rPr>
      </w:pPr>
      <w:r>
        <w:rPr>
          <w:color w:val="000000"/>
          <w:sz w:val="24"/>
          <w:szCs w:val="24"/>
          <w:shd w:fill="FFFFFF" w:val="clear"/>
        </w:rPr>
        <w:br/>
      </w:r>
      <w:r>
        <w:rPr>
          <w:b/>
          <w:bCs/>
          <w:sz w:val="24"/>
          <w:szCs w:val="24"/>
        </w:rPr>
        <w:t>1. Предмет Договора</w:t>
      </w:r>
    </w:p>
    <w:p>
      <w:pPr>
        <w:pStyle w:val="Normal"/>
        <w:numPr>
          <w:ilvl w:val="1"/>
          <w:numId w:val="2"/>
        </w:numPr>
        <w:shd w:val="clear" w:color="auto" w:fill="FFFFFF"/>
        <w:tabs>
          <w:tab w:val="clear" w:pos="709"/>
          <w:tab w:val="left" w:pos="1134" w:leader="none"/>
        </w:tabs>
        <w:ind w:left="0" w:firstLine="709"/>
        <w:jc w:val="both"/>
        <w:rPr>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sz w:val="24"/>
          <w:szCs w:val="24"/>
          <w:lang w:eastAsia="en-US"/>
        </w:rPr>
        <w:t>приборы для контроля и измерения</w:t>
      </w:r>
      <w:r>
        <w:rPr>
          <w:rFonts w:eastAsia="Calibri"/>
          <w:bCs/>
          <w:color w:val="000000" w:themeColor="text1"/>
          <w:sz w:val="24"/>
          <w:szCs w:val="24"/>
          <w:lang w:eastAsia="en-US"/>
        </w:rPr>
        <w:t xml:space="preserve"> </w:t>
      </w:r>
      <w:r>
        <w:rPr>
          <w:bCs/>
          <w:sz w:val="24"/>
          <w:szCs w:val="24"/>
        </w:rPr>
        <w:t>(далее – «Товар») в соответствии со Спецификацией (Приложение № 1 к Договору), а Покупатель обязуется принять Товар и уплатить Цену Договора.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Наименование, ассортимент и количество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КВГЭС им.Е.Н. Батенчука  ПАО «Якутскэнерго».</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bCs/>
          <w:sz w:val="24"/>
          <w:szCs w:val="24"/>
        </w:rPr>
        <w:t xml:space="preserve">Окончание – в </w:t>
      </w:r>
      <w:r>
        <w:rPr>
          <w:bCs/>
          <w:sz w:val="24"/>
          <w:szCs w:val="24"/>
          <w:highlight w:val="lightGray"/>
        </w:rPr>
        <w:t>соответствии со Спецификацией (Приложение № 1 к Договору</w:t>
      </w:r>
      <w:r>
        <w:rPr>
          <w:bCs/>
          <w:sz w:val="24"/>
          <w:szCs w:val="24"/>
        </w:rPr>
        <w:t>.</w:t>
      </w:r>
    </w:p>
    <w:p>
      <w:pPr>
        <w:pStyle w:val="Normal"/>
        <w:shd w:val="clear" w:color="auto" w:fill="FFFFFF"/>
        <w:tabs>
          <w:tab w:val="clear" w:pos="709"/>
          <w:tab w:val="left" w:pos="540" w:leader="none"/>
        </w:tabs>
        <w:ind w:firstLine="709"/>
        <w:jc w:val="both"/>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858" w:leader="none"/>
          <w:tab w:val="left" w:pos="1000" w:leader="none"/>
          <w:tab w:val="left" w:pos="1134" w:leader="none"/>
        </w:tabs>
        <w:ind w:left="0" w:firstLine="709"/>
        <w:jc w:val="both"/>
        <w:rPr>
          <w:bCs/>
          <w:sz w:val="24"/>
          <w:szCs w:val="24"/>
          <w:highlight w:val="lightGray"/>
        </w:rPr>
      </w:pPr>
      <w:r>
        <w:rPr>
          <w:sz w:val="24"/>
          <w:szCs w:val="24"/>
          <w:highlight w:val="lightGray"/>
        </w:rPr>
        <w:t xml:space="preserve">Цена Договора в соответствии со </w:t>
      </w:r>
      <w:r>
        <w:rPr>
          <w:bCs/>
          <w:sz w:val="24"/>
          <w:szCs w:val="24"/>
        </w:rPr>
        <w:t xml:space="preserve">Спецификацией </w:t>
      </w:r>
      <w:r>
        <w:rPr>
          <w:sz w:val="24"/>
          <w:szCs w:val="24"/>
          <w:highlight w:val="lightGray"/>
        </w:rPr>
        <w:t xml:space="preserve"> (Приложение № 1 к Договору) </w:t>
      </w:r>
      <w:r>
        <w:rPr>
          <w:bCs/>
          <w:sz w:val="24"/>
          <w:szCs w:val="24"/>
          <w:highlight w:val="lightGray"/>
        </w:rPr>
        <w:t>является предельной /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Pr>
          <w:rStyle w:val="FootnoteReference"/>
          <w:bCs/>
          <w:sz w:val="24"/>
          <w:szCs w:val="24"/>
          <w:highlight w:val="lightGray"/>
        </w:rPr>
        <w:footnoteReference w:id="2"/>
      </w:r>
      <w:r>
        <w:rPr>
          <w:bCs/>
          <w:sz w:val="24"/>
          <w:szCs w:val="24"/>
          <w:highlight w:val="lightGray"/>
        </w:rPr>
        <w:t>.</w:t>
      </w:r>
    </w:p>
    <w:p>
      <w:pPr>
        <w:pStyle w:val="Normal"/>
        <w:shd w:val="clear" w:color="auto" w:fill="FFFFFF"/>
        <w:tabs>
          <w:tab w:val="clear" w:pos="709"/>
          <w:tab w:val="left" w:pos="1000" w:leader="none"/>
          <w:tab w:val="left" w:pos="1134" w:leader="none"/>
        </w:tabs>
        <w:ind w:left="709" w:hanging="0"/>
        <w:jc w:val="both"/>
        <w:rPr>
          <w:bCs/>
          <w:i/>
          <w:i/>
          <w:sz w:val="24"/>
          <w:szCs w:val="24"/>
          <w:highlight w:val="lightGray"/>
        </w:rPr>
      </w:pPr>
      <w:r>
        <w:rPr>
          <w:bCs/>
          <w:i/>
          <w:sz w:val="24"/>
          <w:szCs w:val="24"/>
          <w:highlight w:val="lightGray"/>
        </w:rPr>
        <w:t>либо</w:t>
      </w:r>
    </w:p>
    <w:p>
      <w:pPr>
        <w:pStyle w:val="Normal"/>
        <w:shd w:val="clear" w:color="auto" w:fill="FFFFFF"/>
        <w:tabs>
          <w:tab w:val="clear" w:pos="709"/>
          <w:tab w:val="left" w:pos="1000" w:leader="none"/>
          <w:tab w:val="left" w:pos="1134" w:leader="none"/>
        </w:tabs>
        <w:ind w:firstLine="709"/>
        <w:jc w:val="both"/>
        <w:rPr>
          <w:bCs/>
          <w:sz w:val="24"/>
          <w:szCs w:val="24"/>
          <w:highlight w:val="lightGray"/>
        </w:rPr>
      </w:pPr>
      <w:r>
        <w:rPr>
          <w:bCs/>
          <w:sz w:val="24"/>
          <w:szCs w:val="24"/>
          <w:highlight w:val="lightGray"/>
        </w:rPr>
        <w:t xml:space="preserve">Цена Договора в соответствии со </w:t>
      </w:r>
      <w:r>
        <w:rPr>
          <w:bCs/>
          <w:sz w:val="24"/>
          <w:szCs w:val="24"/>
        </w:rPr>
        <w:t xml:space="preserve">Спецификацией </w:t>
      </w:r>
      <w:r>
        <w:rPr>
          <w:bCs/>
          <w:sz w:val="24"/>
          <w:szCs w:val="24"/>
          <w:highlight w:val="lightGray"/>
        </w:rPr>
        <w:t xml:space="preserve"> (Приложение № 1 к Договору)  является предельной / твердой и составляет __________ (_________________) рублей ___ копеек без учета НДС, при этом НДС исчисляется дополнительно по ставке, установленной пп 1 п.8 статьи 164 Налогового кодекса РФ</w:t>
      </w:r>
      <w:r>
        <w:rPr>
          <w:rStyle w:val="FootnoteReference"/>
          <w:bCs/>
          <w:sz w:val="24"/>
          <w:szCs w:val="24"/>
          <w:highlight w:val="lightGray"/>
        </w:rPr>
        <w:footnoteReference w:id="3"/>
      </w:r>
      <w:r>
        <w:rPr>
          <w:bCs/>
          <w:sz w:val="24"/>
          <w:szCs w:val="24"/>
          <w:highlight w:val="lightGray"/>
        </w:rPr>
        <w:t>.</w:t>
      </w:r>
    </w:p>
    <w:p>
      <w:pPr>
        <w:pStyle w:val="Normal"/>
        <w:shd w:val="clear" w:color="auto" w:fill="FFFFFF"/>
        <w:tabs>
          <w:tab w:val="clear" w:pos="709"/>
          <w:tab w:val="left" w:pos="1000" w:leader="none"/>
          <w:tab w:val="left" w:pos="1134" w:leader="none"/>
        </w:tabs>
        <w:ind w:firstLine="709"/>
        <w:jc w:val="both"/>
        <w:rPr>
          <w:bCs/>
          <w:i/>
          <w:i/>
          <w:sz w:val="24"/>
          <w:szCs w:val="24"/>
          <w:highlight w:val="lightGray"/>
        </w:rPr>
      </w:pPr>
      <w:r>
        <w:rPr>
          <w:bCs/>
          <w:i/>
          <w:sz w:val="24"/>
          <w:szCs w:val="24"/>
          <w:highlight w:val="lightGray"/>
        </w:rPr>
        <w:t>Либо</w:t>
      </w:r>
    </w:p>
    <w:p>
      <w:pPr>
        <w:pStyle w:val="Normal"/>
        <w:shd w:val="clear" w:color="auto" w:fill="FFFFFF"/>
        <w:tabs>
          <w:tab w:val="clear" w:pos="709"/>
          <w:tab w:val="left" w:pos="1000" w:leader="none"/>
          <w:tab w:val="left" w:pos="1134" w:leader="none"/>
        </w:tabs>
        <w:ind w:firstLine="709"/>
        <w:jc w:val="both"/>
        <w:rPr>
          <w:bCs/>
          <w:sz w:val="24"/>
          <w:szCs w:val="24"/>
          <w:highlight w:val="lightGray"/>
        </w:rPr>
      </w:pPr>
      <w:r>
        <w:rPr>
          <w:bCs/>
          <w:sz w:val="24"/>
          <w:szCs w:val="24"/>
          <w:highlight w:val="lightGray"/>
        </w:rPr>
        <w:t xml:space="preserve">Цена Договора в соответствии со </w:t>
      </w:r>
      <w:r>
        <w:rPr>
          <w:bCs/>
          <w:sz w:val="24"/>
          <w:szCs w:val="24"/>
        </w:rPr>
        <w:t xml:space="preserve">Спецификацией </w:t>
      </w:r>
      <w:r>
        <w:rPr>
          <w:bCs/>
          <w:sz w:val="24"/>
          <w:szCs w:val="24"/>
          <w:highlight w:val="lightGray"/>
        </w:rPr>
        <w:t xml:space="preserve"> (Приложение № 1 к Договору) является предельной / твердой и составляет __________ (_________________) рублей ___ копеек без учета НДС, при этом НДС исчисляется дополнительно по ставке, установленной пп 2 п.8 статьи 164 Налогового кодекса РФ</w:t>
      </w:r>
      <w:r>
        <w:rPr>
          <w:rStyle w:val="FootnoteReference"/>
          <w:bCs/>
          <w:sz w:val="24"/>
          <w:szCs w:val="24"/>
          <w:highlight w:val="lightGray"/>
        </w:rPr>
        <w:footnoteReference w:id="4"/>
      </w:r>
      <w:r>
        <w:rPr>
          <w:bCs/>
          <w:sz w:val="24"/>
          <w:szCs w:val="24"/>
          <w:highlight w:val="lightGray"/>
        </w:rPr>
        <w:t>.</w:t>
      </w:r>
    </w:p>
    <w:p>
      <w:pPr>
        <w:pStyle w:val="Normal"/>
        <w:shd w:val="clear" w:color="auto" w:fill="FFFFFF"/>
        <w:tabs>
          <w:tab w:val="clear" w:pos="709"/>
          <w:tab w:val="left" w:pos="1000" w:leader="none"/>
          <w:tab w:val="left" w:pos="1134" w:leader="none"/>
        </w:tabs>
        <w:ind w:firstLine="709"/>
        <w:jc w:val="both"/>
        <w:rPr>
          <w:bCs/>
          <w:i/>
          <w:i/>
          <w:sz w:val="24"/>
          <w:szCs w:val="24"/>
          <w:highlight w:val="lightGray"/>
        </w:rPr>
      </w:pPr>
      <w:r>
        <w:rPr>
          <w:bCs/>
          <w:i/>
          <w:sz w:val="24"/>
          <w:szCs w:val="24"/>
          <w:highlight w:val="lightGray"/>
        </w:rPr>
        <w:t>Либо</w:t>
      </w:r>
    </w:p>
    <w:p>
      <w:pPr>
        <w:pStyle w:val="Normal"/>
        <w:shd w:val="clear" w:color="auto" w:fill="FFFFFF"/>
        <w:tabs>
          <w:tab w:val="left" w:pos="709" w:leader="none"/>
          <w:tab w:val="left" w:pos="1708" w:leader="none"/>
        </w:tabs>
        <w:jc w:val="both"/>
        <w:rPr>
          <w:sz w:val="24"/>
          <w:szCs w:val="24"/>
        </w:rPr>
      </w:pPr>
      <w:r>
        <w:rPr>
          <w:bCs/>
          <w:sz w:val="24"/>
          <w:szCs w:val="24"/>
          <w:highlight w:val="lightGray"/>
        </w:rPr>
        <w:tab/>
        <w:t xml:space="preserve">Цена Договора в соответствии со </w:t>
      </w:r>
      <w:r>
        <w:rPr>
          <w:bCs/>
          <w:sz w:val="24"/>
          <w:szCs w:val="24"/>
        </w:rPr>
        <w:t xml:space="preserve">Спецификацией </w:t>
      </w:r>
      <w:r>
        <w:rPr>
          <w:bCs/>
          <w:sz w:val="24"/>
          <w:szCs w:val="24"/>
          <w:highlight w:val="lightGray"/>
        </w:rPr>
        <w:t xml:space="preserve"> (Приложение № 1 к Договору) является предельной / твердой и составляет __________ (_________________) рублей ___ копеек НДС не облагается на основании п. 1 статьи 145 Налогового кодекса РФ</w:t>
      </w:r>
      <w:r>
        <w:rPr>
          <w:rStyle w:val="FootnoteReference"/>
          <w:bCs/>
          <w:sz w:val="24"/>
          <w:szCs w:val="24"/>
          <w:highlight w:val="lightGray"/>
        </w:rPr>
        <w:footnoteReference w:id="5"/>
      </w:r>
      <w:r>
        <w:rPr>
          <w:bCs/>
          <w:sz w:val="24"/>
          <w:szCs w:val="24"/>
        </w:rPr>
        <w:t xml:space="preserve">. </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pPr>
        <w:pStyle w:val="Norma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Приобретение Товара;</w:t>
      </w:r>
    </w:p>
    <w:p>
      <w:pPr>
        <w:pStyle w:val="ListParagraph"/>
        <w:numPr>
          <w:ilvl w:val="2"/>
          <w:numId w:val="9"/>
        </w:numPr>
        <w:shd w:val="clear" w:color="auto" w:fill="FFFFFF"/>
        <w:tabs>
          <w:tab w:val="clear" w:pos="709"/>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pPr>
        <w:pStyle w:val="ListParagraph"/>
        <w:numPr>
          <w:ilvl w:val="2"/>
          <w:numId w:val="9"/>
        </w:numPr>
        <w:shd w:val="clear" w:color="auto" w:fill="FFFFFF"/>
        <w:tabs>
          <w:tab w:val="clear" w:pos="709"/>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ListParagraph"/>
        <w:numPr>
          <w:ilvl w:val="2"/>
          <w:numId w:val="9"/>
        </w:numPr>
        <w:shd w:val="clear" w:color="auto" w:fill="FFFFFF"/>
        <w:tabs>
          <w:tab w:val="clear" w:pos="709"/>
          <w:tab w:val="left" w:pos="1418" w:leader="none"/>
        </w:tabs>
        <w:ind w:left="0" w:firstLine="709"/>
        <w:jc w:val="both"/>
        <w:rPr>
          <w:bCs/>
          <w:sz w:val="24"/>
          <w:szCs w:val="24"/>
        </w:rPr>
      </w:pPr>
      <w:r>
        <w:rPr>
          <w:bCs/>
          <w:sz w:val="24"/>
          <w:szCs w:val="24"/>
        </w:rPr>
        <w:t>Заработную плату, накладные и командировочные расходы;</w:t>
      </w:r>
    </w:p>
    <w:p>
      <w:pPr>
        <w:pStyle w:val="ListParagraph"/>
        <w:numPr>
          <w:ilvl w:val="2"/>
          <w:numId w:val="9"/>
        </w:numPr>
        <w:shd w:val="clear" w:color="auto" w:fill="FFFFFF"/>
        <w:tabs>
          <w:tab w:val="clear" w:pos="709"/>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widowControl/>
        <w:numPr>
          <w:ilvl w:val="1"/>
          <w:numId w:val="2"/>
        </w:numPr>
        <w:shd w:val="clear" w:color="auto" w:fill="FFFFFF"/>
        <w:tabs>
          <w:tab w:val="clear" w:pos="709"/>
          <w:tab w:val="left" w:pos="0" w:leader="none"/>
          <w:tab w:val="left" w:pos="1134" w:leader="none"/>
          <w:tab w:val="left" w:pos="1276" w:leader="none"/>
        </w:tabs>
        <w:ind w:left="0" w:firstLine="709"/>
        <w:jc w:val="both"/>
        <w:rPr>
          <w:sz w:val="24"/>
          <w:szCs w:val="24"/>
        </w:rPr>
      </w:pPr>
      <w:r>
        <w:rPr>
          <w:sz w:val="24"/>
          <w:szCs w:val="24"/>
        </w:rPr>
        <w:t>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в срок не более _____ (____) рабочих дней с даты подписания товарной накладной по форме ТОРГ-12 или УПД, предоставления счёта-фактуры на основании счета, выставленного Поставщиком, и с учетом пункта 2.6 Договора.</w:t>
      </w:r>
    </w:p>
    <w:p>
      <w:pPr>
        <w:pStyle w:val="ListParagraph"/>
        <w:widowControl/>
        <w:shd w:val="clear" w:color="auto" w:fill="FFFFFF"/>
        <w:tabs>
          <w:tab w:val="clear" w:pos="709"/>
          <w:tab w:val="left" w:pos="1134" w:leader="none"/>
          <w:tab w:val="left" w:pos="1276" w:leader="none"/>
        </w:tabs>
        <w:ind w:left="0" w:firstLine="709"/>
        <w:jc w:val="both"/>
        <w:rPr>
          <w:i/>
          <w:i/>
          <w:sz w:val="24"/>
          <w:szCs w:val="24"/>
        </w:rPr>
      </w:pPr>
      <w:r>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pPr>
        <w:pStyle w:val="ListParagraph"/>
        <w:widowControl/>
        <w:shd w:val="clear" w:color="auto" w:fill="FFFFFF"/>
        <w:tabs>
          <w:tab w:val="left" w:pos="709" w:leader="none"/>
          <w:tab w:val="left" w:pos="1276" w:leader="none"/>
        </w:tabs>
        <w:ind w:left="0" w:firstLine="567"/>
        <w:jc w:val="both"/>
        <w:rPr>
          <w:i/>
          <w:i/>
          <w:sz w:val="24"/>
          <w:szCs w:val="24"/>
        </w:rPr>
      </w:pPr>
      <w:r>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pPr>
        <w:pStyle w:val="ListParagraph"/>
        <w:widowControl/>
        <w:numPr>
          <w:ilvl w:val="1"/>
          <w:numId w:val="2"/>
        </w:numPr>
        <w:shd w:val="clear" w:color="auto" w:fill="FFFFFF"/>
        <w:tabs>
          <w:tab w:val="clear" w:pos="709"/>
          <w:tab w:val="left" w:pos="0" w:leader="none"/>
          <w:tab w:val="left" w:pos="1134" w:leader="none"/>
          <w:tab w:val="left" w:pos="1276"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color w:val="2E74B5" w:themeColor="accent1" w:themeShade="bf"/>
          <w:sz w:val="24"/>
          <w:szCs w:val="24"/>
          <w:highlight w:val="lightGray"/>
        </w:rPr>
      </w:pPr>
      <w:r>
        <w:rPr>
          <w:bCs/>
          <w:color w:val="2E74B5" w:themeColor="accent1" w:themeShade="bf"/>
          <w:sz w:val="24"/>
          <w:szCs w:val="24"/>
          <w:highlight w:val="lightGray"/>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Pr>
          <w:rStyle w:val="FootnoteReference"/>
          <w:bCs/>
          <w:color w:val="2E74B5" w:themeColor="accent1" w:themeShade="bf"/>
          <w:highlight w:val="lightGray"/>
        </w:rPr>
        <w:footnoteReference w:id="6"/>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color w:val="2E74B5" w:themeColor="accent1" w:themeShade="bf"/>
          <w:sz w:val="24"/>
          <w:szCs w:val="24"/>
          <w:highlight w:val="lightGray"/>
        </w:rPr>
      </w:pPr>
      <w:r>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pPr>
        <w:pStyle w:val="ListParagraph"/>
        <w:widowControl/>
        <w:numPr>
          <w:ilvl w:val="1"/>
          <w:numId w:val="2"/>
        </w:numPr>
        <w:shd w:val="clear" w:color="auto" w:fill="FFFFFF"/>
        <w:tabs>
          <w:tab w:val="clear" w:pos="709"/>
          <w:tab w:val="left" w:pos="0" w:leader="none"/>
          <w:tab w:val="left" w:pos="1134" w:leader="none"/>
          <w:tab w:val="left" w:pos="1425" w:leader="none"/>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w:t>
      </w:r>
      <w:r>
        <w:rPr>
          <w:bCs/>
          <w:sz w:val="24"/>
          <w:szCs w:val="24"/>
        </w:rPr>
        <w:t>причитающихся</w:t>
      </w:r>
      <w:r>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w:t>
      </w:r>
    </w:p>
    <w:p>
      <w:pPr>
        <w:pStyle w:val="Normal"/>
        <w:widowControl/>
        <w:shd w:val="clear" w:color="auto" w:fill="FFFFFF"/>
        <w:tabs>
          <w:tab w:val="clear" w:pos="709"/>
          <w:tab w:val="left" w:pos="1134" w:leader="none"/>
          <w:tab w:val="left" w:pos="1425" w:leader="none"/>
        </w:tabs>
        <w:jc w:val="both"/>
        <w:rPr>
          <w:sz w:val="24"/>
          <w:szCs w:val="24"/>
        </w:rPr>
      </w:pPr>
      <w:r>
        <w:rPr>
          <w:sz w:val="24"/>
          <w:szCs w:val="24"/>
        </w:rPr>
        <w:tab/>
        <w:t>Покупатель направляет Поставщику уведомление о проведении сальдо взаимных обязательств Сторон по Договору.</w:t>
      </w:r>
    </w:p>
    <w:p>
      <w:pPr>
        <w:pStyle w:val="ListParagraph"/>
        <w:widowControl/>
        <w:numPr>
          <w:ilvl w:val="1"/>
          <w:numId w:val="2"/>
        </w:numPr>
        <w:shd w:val="clear" w:color="auto" w:fill="FFFFFF"/>
        <w:tabs>
          <w:tab w:val="clear" w:pos="709"/>
          <w:tab w:val="left" w:pos="1134" w:leader="none"/>
          <w:tab w:val="left" w:pos="1425" w:leader="none"/>
        </w:tabs>
        <w:ind w:left="0" w:firstLine="709"/>
        <w:jc w:val="both"/>
        <w:rPr>
          <w:sz w:val="24"/>
          <w:szCs w:val="24"/>
        </w:rPr>
      </w:pPr>
      <w:r>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pPr>
        <w:pStyle w:val="Normal"/>
        <w:shd w:val="clear" w:color="auto" w:fill="FFFFFF"/>
        <w:tabs>
          <w:tab w:val="clear" w:pos="709"/>
          <w:tab w:val="left" w:pos="567" w:leader="none"/>
          <w:tab w:val="left" w:pos="716" w:leader="none"/>
          <w:tab w:val="left" w:pos="1134" w:leader="none"/>
          <w:tab w:val="left" w:pos="1708" w:leader="none"/>
        </w:tabs>
        <w:ind w:left="709" w:hanging="0"/>
        <w:jc w:val="both"/>
        <w:rPr>
          <w:sz w:val="24"/>
          <w:szCs w:val="24"/>
          <w:highlight w:val="lightGray"/>
        </w:rPr>
      </w:pPr>
      <w:r>
        <w:rPr>
          <w:sz w:val="24"/>
          <w:szCs w:val="24"/>
          <w:highlight w:val="lightGray"/>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 xml:space="preserve">Поставка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pPr>
        <w:pStyle w:val="ListParagraph"/>
        <w:widowControl/>
        <w:numPr>
          <w:ilvl w:val="1"/>
          <w:numId w:val="2"/>
        </w:numPr>
        <w:shd w:val="clear" w:color="auto" w:fill="FFFFFF"/>
        <w:ind w:left="0" w:firstLine="709"/>
        <w:jc w:val="both"/>
        <w:rPr>
          <w:bCs/>
          <w:sz w:val="24"/>
          <w:szCs w:val="24"/>
        </w:rPr>
      </w:pPr>
      <w:r>
        <w:rPr>
          <w:sz w:val="24"/>
          <w:szCs w:val="24"/>
        </w:rPr>
        <w:t>В течение трех дней Поставщик после фактической отгрузки Товара на электронный адрес Покупателя</w:t>
      </w:r>
      <w:r>
        <w:rPr>
          <w:i/>
          <w:color w:val="0000FF"/>
          <w:sz w:val="24"/>
          <w:szCs w:val="24"/>
        </w:rPr>
        <w:t xml:space="preserve"> </w:t>
      </w:r>
      <w:r>
        <w:rPr>
          <w:i/>
          <w:color w:val="0000FF"/>
          <w:sz w:val="24"/>
          <w:szCs w:val="24"/>
          <w:lang w:val="en-US"/>
        </w:rPr>
        <w:t>petrukhina</w:t>
      </w:r>
      <w:r>
        <w:rPr>
          <w:i/>
          <w:color w:val="0000FF"/>
          <w:sz w:val="24"/>
          <w:szCs w:val="24"/>
        </w:rPr>
        <w:t>ga@</w:t>
      </w:r>
      <w:r>
        <w:rPr>
          <w:i/>
          <w:color w:val="0000FF"/>
          <w:sz w:val="24"/>
          <w:szCs w:val="24"/>
          <w:lang w:val="en-US"/>
        </w:rPr>
        <w:t>rushydro</w:t>
      </w:r>
      <w:r>
        <w:rPr>
          <w:i/>
          <w:color w:val="0000FF"/>
          <w:sz w:val="24"/>
          <w:szCs w:val="24"/>
        </w:rPr>
        <w:t>.</w:t>
      </w:r>
      <w:r>
        <w:rPr>
          <w:i/>
          <w:color w:val="0000FF"/>
          <w:sz w:val="24"/>
          <w:szCs w:val="24"/>
          <w:lang w:val="en-US"/>
        </w:rPr>
        <w:t>ru</w:t>
      </w:r>
      <w:r>
        <w:rPr>
          <w:sz w:val="24"/>
          <w:szCs w:val="24"/>
        </w:rPr>
        <w:t xml:space="preserve"> направляет копии транспортных документов (опись отправленного, квитанция или накладная и контактные телефоны ответственного исполнителя).</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В случае, указанном в пункте 3.3 Договора, Покупатель вправе расторгнуть Договор в порядке, установленном пунктом 11.2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ind w:left="0" w:firstLine="709"/>
        <w:jc w:val="both"/>
        <w:rPr>
          <w:sz w:val="24"/>
          <w:szCs w:val="24"/>
          <w:highlight w:val="lightGray"/>
        </w:rPr>
      </w:pPr>
      <w:r>
        <w:rPr>
          <w:sz w:val="24"/>
          <w:szCs w:val="24"/>
          <w:highlight w:val="lightGray"/>
        </w:rPr>
        <w:t>сертификат качества на русском языке в (____) экз.;</w:t>
      </w:r>
    </w:p>
    <w:p>
      <w:pPr>
        <w:pStyle w:val="Normal"/>
        <w:numPr>
          <w:ilvl w:val="0"/>
          <w:numId w:val="4"/>
        </w:numPr>
        <w:tabs>
          <w:tab w:val="clear" w:pos="709"/>
          <w:tab w:val="left" w:pos="1418" w:leader="none"/>
        </w:tabs>
        <w:ind w:left="0" w:firstLine="709"/>
        <w:jc w:val="both"/>
        <w:rPr>
          <w:sz w:val="24"/>
          <w:szCs w:val="24"/>
          <w:highlight w:val="lightGray"/>
        </w:rPr>
      </w:pPr>
      <w:r>
        <w:rPr>
          <w:sz w:val="24"/>
          <w:szCs w:val="24"/>
          <w:highlight w:val="lightGray"/>
        </w:rPr>
        <w:t>технический паспорт на русском языке в (____) экз.;</w:t>
      </w:r>
    </w:p>
    <w:p>
      <w:pPr>
        <w:pStyle w:val="Normal"/>
        <w:numPr>
          <w:ilvl w:val="0"/>
          <w:numId w:val="4"/>
        </w:numPr>
        <w:tabs>
          <w:tab w:val="clear" w:pos="709"/>
          <w:tab w:val="left" w:pos="1418" w:leader="none"/>
        </w:tabs>
        <w:ind w:left="0" w:firstLine="709"/>
        <w:jc w:val="both"/>
        <w:rPr>
          <w:sz w:val="24"/>
          <w:szCs w:val="24"/>
          <w:highlight w:val="lightGray"/>
        </w:rPr>
      </w:pPr>
      <w:r>
        <w:rPr>
          <w:sz w:val="24"/>
          <w:szCs w:val="24"/>
          <w:highlight w:val="lightGray"/>
        </w:rPr>
        <w:t>инструкция по эксплуатации на русском языке в (____) экз.;</w:t>
      </w:r>
    </w:p>
    <w:p>
      <w:pPr>
        <w:pStyle w:val="Normal"/>
        <w:numPr>
          <w:ilvl w:val="0"/>
          <w:numId w:val="4"/>
        </w:numPr>
        <w:tabs>
          <w:tab w:val="clear" w:pos="709"/>
          <w:tab w:val="left" w:pos="1418" w:leader="none"/>
        </w:tabs>
        <w:ind w:left="0" w:firstLine="709"/>
        <w:jc w:val="both"/>
        <w:rPr>
          <w:sz w:val="24"/>
          <w:szCs w:val="24"/>
          <w:highlight w:val="lightGray"/>
        </w:rPr>
      </w:pPr>
      <w:r>
        <w:rPr>
          <w:sz w:val="24"/>
          <w:szCs w:val="24"/>
          <w:highlight w:val="lightGray"/>
        </w:rPr>
        <w:t>упаковочный лист в (____) экз.;</w:t>
      </w:r>
    </w:p>
    <w:p>
      <w:pPr>
        <w:pStyle w:val="Normal"/>
        <w:numPr>
          <w:ilvl w:val="0"/>
          <w:numId w:val="3"/>
        </w:numPr>
        <w:tabs>
          <w:tab w:val="clear" w:pos="709"/>
          <w:tab w:val="left" w:pos="1418" w:leader="none"/>
        </w:tabs>
        <w:ind w:left="0" w:firstLine="709"/>
        <w:jc w:val="both"/>
        <w:rPr>
          <w:sz w:val="24"/>
          <w:szCs w:val="24"/>
          <w:highlight w:val="lightGray"/>
        </w:rPr>
      </w:pPr>
      <w:r>
        <w:rPr>
          <w:sz w:val="24"/>
          <w:szCs w:val="24"/>
          <w:highlight w:val="lightGray"/>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9"/>
          <w:tab w:val="left" w:pos="1418" w:leader="none"/>
        </w:tabs>
        <w:ind w:left="0" w:firstLine="709"/>
        <w:jc w:val="both"/>
        <w:rPr>
          <w:sz w:val="24"/>
          <w:szCs w:val="24"/>
          <w:highlight w:val="lightGray"/>
        </w:rPr>
      </w:pPr>
      <w:r>
        <w:rPr>
          <w:sz w:val="24"/>
          <w:szCs w:val="24"/>
          <w:highlight w:val="lightGray"/>
        </w:rPr>
        <w:t>накладная ТОРГ-12 или УПД в (____) экз.;</w:t>
      </w:r>
    </w:p>
    <w:p>
      <w:pPr>
        <w:pStyle w:val="Normal"/>
        <w:numPr>
          <w:ilvl w:val="0"/>
          <w:numId w:val="3"/>
        </w:numPr>
        <w:shd w:val="clear" w:color="auto" w:fill="FFFFFF"/>
        <w:tabs>
          <w:tab w:val="clear" w:pos="709"/>
          <w:tab w:val="left" w:pos="1418" w:leader="none"/>
        </w:tabs>
        <w:ind w:left="0" w:firstLine="709"/>
        <w:jc w:val="both"/>
        <w:rPr>
          <w:color w:val="2E74B5" w:themeColor="accent1" w:themeShade="bf"/>
          <w:sz w:val="24"/>
          <w:szCs w:val="24"/>
          <w:highlight w:val="lightGray"/>
        </w:rPr>
      </w:pPr>
      <w:r>
        <w:rPr>
          <w:sz w:val="24"/>
          <w:szCs w:val="24"/>
          <w:highlight w:val="lightGray"/>
        </w:rPr>
        <w:t>счет-фактуру в (____) экз. (</w:t>
      </w:r>
      <w:r>
        <w:rPr>
          <w:i/>
          <w:sz w:val="24"/>
          <w:szCs w:val="24"/>
          <w:highlight w:val="lightGray"/>
        </w:rPr>
        <w:t>если поставщик является плательщиком НДС</w:t>
      </w:r>
      <w:r>
        <w:rPr>
          <w:i/>
          <w:color w:val="2E74B5" w:themeColor="accent1" w:themeShade="bf"/>
          <w:sz w:val="24"/>
          <w:szCs w:val="24"/>
        </w:rPr>
        <w:t>).</w:t>
      </w:r>
    </w:p>
    <w:p>
      <w:pPr>
        <w:pStyle w:val="ListParagraph"/>
        <w:widowControl/>
        <w:numPr>
          <w:ilvl w:val="1"/>
          <w:numId w:val="2"/>
        </w:numPr>
        <w:shd w:val="clear" w:color="auto" w:fill="FFFFFF"/>
        <w:tabs>
          <w:tab w:val="clear" w:pos="709"/>
          <w:tab w:val="left" w:pos="1134" w:leader="none"/>
        </w:tabs>
        <w:ind w:left="0" w:firstLine="709"/>
        <w:jc w:val="both"/>
        <w:rPr>
          <w:bCs/>
          <w:sz w:val="24"/>
          <w:szCs w:val="24"/>
          <w:u w:val="single"/>
        </w:rPr>
      </w:pPr>
      <w:r>
        <w:rPr>
          <w:bCs/>
          <w:sz w:val="24"/>
          <w:szCs w:val="24"/>
          <w:u w:val="single"/>
        </w:rPr>
        <w:t>При формировании счетов-фактур указать в графе:</w:t>
      </w:r>
    </w:p>
    <w:p>
      <w:pPr>
        <w:pStyle w:val="Normal"/>
        <w:widowControl/>
        <w:shd w:val="clear" w:color="auto" w:fill="FFFFFF"/>
        <w:tabs>
          <w:tab w:val="clear" w:pos="709"/>
          <w:tab w:val="left" w:pos="1134" w:leader="none"/>
          <w:tab w:val="left" w:pos="1418" w:leader="none"/>
        </w:tabs>
        <w:jc w:val="both"/>
        <w:rPr>
          <w:bCs/>
          <w:sz w:val="24"/>
          <w:szCs w:val="24"/>
        </w:rPr>
      </w:pPr>
      <w:r>
        <w:rPr>
          <w:bCs/>
          <w:sz w:val="24"/>
          <w:szCs w:val="24"/>
        </w:rPr>
        <w:t>Покупатель: ПАО «Якутскэнерго», адрес: 677001, Российская Федерация, Республика Саха (Якутия), г. Якутск, ул. Федора Попова, д.14.</w:t>
      </w:r>
    </w:p>
    <w:p>
      <w:pPr>
        <w:pStyle w:val="Normal"/>
        <w:widowControl/>
        <w:shd w:val="clear" w:color="auto" w:fill="FFFFFF"/>
        <w:tabs>
          <w:tab w:val="clear" w:pos="709"/>
          <w:tab w:val="left" w:pos="1134" w:leader="none"/>
          <w:tab w:val="left" w:pos="1418" w:leader="none"/>
        </w:tabs>
        <w:jc w:val="both"/>
        <w:rPr>
          <w:bCs/>
          <w:sz w:val="24"/>
          <w:szCs w:val="24"/>
        </w:rPr>
      </w:pPr>
      <w:r>
        <w:rPr>
          <w:bCs/>
          <w:sz w:val="24"/>
          <w:szCs w:val="24"/>
        </w:rPr>
        <w:t>Грузополучатель и его адрес:</w:t>
      </w:r>
      <w:r>
        <w:rPr>
          <w:sz w:val="24"/>
          <w:szCs w:val="24"/>
        </w:rPr>
        <w:t xml:space="preserve"> КВГЭС имени Е.Н. Батенчука </w:t>
      </w:r>
      <w:r>
        <w:rPr>
          <w:bCs/>
          <w:sz w:val="24"/>
          <w:szCs w:val="24"/>
        </w:rPr>
        <w:t xml:space="preserve">ПАО «Якутскэнерго», адрес: </w:t>
      </w:r>
      <w:r>
        <w:rPr>
          <w:sz w:val="24"/>
          <w:szCs w:val="24"/>
        </w:rPr>
        <w:t>678185, РФ, Республика Саха (Якутия), Мирнинский р-он, п.Чернышевский</w:t>
      </w:r>
      <w:r>
        <w:rPr>
          <w:bCs/>
          <w:sz w:val="24"/>
          <w:szCs w:val="24"/>
        </w:rPr>
        <w:t>.</w:t>
      </w:r>
    </w:p>
    <w:p>
      <w:pPr>
        <w:pStyle w:val="Normal"/>
        <w:widowControl/>
        <w:shd w:val="clear" w:color="auto" w:fill="FFFFFF"/>
        <w:tabs>
          <w:tab w:val="clear" w:pos="709"/>
          <w:tab w:val="left" w:pos="1134" w:leader="none"/>
          <w:tab w:val="left" w:pos="1418" w:leader="none"/>
        </w:tabs>
        <w:jc w:val="both"/>
        <w:rPr>
          <w:bCs/>
          <w:sz w:val="24"/>
          <w:szCs w:val="24"/>
        </w:rPr>
      </w:pPr>
      <w:r>
        <w:rPr>
          <w:bCs/>
          <w:sz w:val="24"/>
          <w:szCs w:val="24"/>
        </w:rPr>
        <w:t>ИНН/КПП покупателя: 1435028701/</w:t>
      </w:r>
      <w:r>
        <w:rPr>
          <w:sz w:val="24"/>
          <w:szCs w:val="24"/>
        </w:rPr>
        <w:t>143302002</w:t>
      </w:r>
      <w:r>
        <w:rPr>
          <w:bCs/>
          <w:sz w:val="24"/>
          <w:szCs w:val="24"/>
        </w:rPr>
        <w:t xml:space="preserve"> .</w:t>
      </w:r>
    </w:p>
    <w:p>
      <w:pPr>
        <w:pStyle w:val="Normal"/>
        <w:widowControl/>
        <w:shd w:val="clear" w:color="auto" w:fill="FFFFFF"/>
        <w:tabs>
          <w:tab w:val="clear" w:pos="709"/>
          <w:tab w:val="left" w:pos="1134" w:leader="none"/>
          <w:tab w:val="left" w:pos="1418" w:leader="none"/>
        </w:tabs>
        <w:jc w:val="both"/>
        <w:rPr>
          <w:bCs/>
          <w:sz w:val="24"/>
          <w:szCs w:val="24"/>
        </w:rPr>
      </w:pPr>
      <w:r>
        <w:rPr>
          <w:bCs/>
          <w:sz w:val="24"/>
          <w:szCs w:val="24"/>
        </w:rPr>
        <w:t>Дополнение: номер и дату договора.</w:t>
      </w:r>
    </w:p>
    <w:p>
      <w:pPr>
        <w:pStyle w:val="ListParagraph"/>
        <w:numPr>
          <w:ilvl w:val="1"/>
          <w:numId w:val="2"/>
        </w:numPr>
        <w:tabs>
          <w:tab w:val="clear" w:pos="709"/>
          <w:tab w:val="left" w:pos="1418" w:leader="none"/>
        </w:tabs>
        <w:ind w:left="0" w:firstLine="709"/>
        <w:rPr>
          <w:bCs/>
          <w:sz w:val="24"/>
          <w:szCs w:val="24"/>
          <w:u w:val="single"/>
        </w:rPr>
      </w:pPr>
      <w:r>
        <w:rPr>
          <w:bCs/>
          <w:sz w:val="24"/>
          <w:szCs w:val="24"/>
          <w:u w:val="single"/>
        </w:rPr>
        <w:t>При формировании товарных накладных указать:</w:t>
      </w:r>
    </w:p>
    <w:p>
      <w:pPr>
        <w:pStyle w:val="Normal"/>
        <w:widowControl/>
        <w:shd w:val="clear" w:color="auto" w:fill="FFFFFF"/>
        <w:tabs>
          <w:tab w:val="clear" w:pos="709"/>
          <w:tab w:val="left" w:pos="1134" w:leader="none"/>
          <w:tab w:val="left" w:pos="1418" w:leader="none"/>
        </w:tabs>
        <w:jc w:val="both"/>
        <w:rPr>
          <w:bCs/>
          <w:sz w:val="24"/>
          <w:szCs w:val="24"/>
        </w:rPr>
      </w:pPr>
      <w:r>
        <w:rPr>
          <w:bCs/>
          <w:sz w:val="24"/>
          <w:szCs w:val="24"/>
        </w:rPr>
        <w:t>Грузополучатель: филиал КВГЭС им. Е.Н. Батенчука ПАО «Якутскэнерго», адрес: 678185, РФ, Республика Саха (Якутия), Мирнинский р-он, п.Чернышевский, КВГЭС им.Е.Н. Батенчука;</w:t>
      </w:r>
    </w:p>
    <w:p>
      <w:pPr>
        <w:pStyle w:val="Normal"/>
        <w:widowControl/>
        <w:shd w:val="clear" w:color="auto" w:fill="FFFFFF"/>
        <w:tabs>
          <w:tab w:val="clear" w:pos="709"/>
          <w:tab w:val="left" w:pos="1134" w:leader="none"/>
          <w:tab w:val="left" w:pos="1418" w:leader="none"/>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pPr>
        <w:pStyle w:val="Normal"/>
        <w:widowControl/>
        <w:shd w:val="clear" w:color="auto" w:fill="FFFFFF"/>
        <w:tabs>
          <w:tab w:val="clear" w:pos="709"/>
          <w:tab w:val="left" w:pos="1134" w:leader="none"/>
          <w:tab w:val="left" w:pos="1418" w:leader="none"/>
        </w:tabs>
        <w:jc w:val="both"/>
        <w:rPr>
          <w:bCs/>
          <w:sz w:val="24"/>
          <w:szCs w:val="24"/>
        </w:rPr>
      </w:pPr>
      <w:r>
        <w:rPr>
          <w:bCs/>
          <w:sz w:val="24"/>
          <w:szCs w:val="24"/>
        </w:rPr>
        <w:t>Основание: номер и дату договора, номер транспортной тары (контейнер, вагон).</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Обязательное заполнение в товарной накладной граф «масса груза (брутто, нетто)», «всего мест», «транспортная накладная, номер, дата».</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Цену Договора. Разгрузка осуществляется за счет Покупателя.</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bookmarkStart w:id="2" w:name="_Ref361396594"/>
      <w:r>
        <w:rPr>
          <w:sz w:val="24"/>
          <w:szCs w:val="24"/>
        </w:rPr>
        <w:t>Датой поставки Товара является дата подписания Сторонами Накладной</w:t>
        <w:br/>
        <w:t>ТОРГ-12 или УПД.</w:t>
      </w:r>
      <w:bookmarkEnd w:id="2"/>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осуществляется Покупателем в течение 30 дней с даты доставки Товара. </w:t>
      </w:r>
    </w:p>
    <w:p>
      <w:pPr>
        <w:pStyle w:val="ListParagraph"/>
        <w:numPr>
          <w:ilvl w:val="1"/>
          <w:numId w:val="2"/>
        </w:numPr>
        <w:ind w:left="0" w:firstLine="709"/>
        <w:jc w:val="both"/>
        <w:rPr>
          <w:sz w:val="24"/>
          <w:szCs w:val="24"/>
        </w:rPr>
      </w:pPr>
      <w:r>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bookmarkStart w:id="3"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3"/>
      <w:r>
        <w:rPr>
          <w:sz w:val="24"/>
          <w:szCs w:val="24"/>
        </w:rPr>
        <w:t>Договору.</w:t>
      </w:r>
    </w:p>
    <w:p>
      <w:pPr>
        <w:pStyle w:val="ListParagraph"/>
        <w:numPr>
          <w:ilvl w:val="1"/>
          <w:numId w:val="2"/>
        </w:numPr>
        <w:shd w:val="clear" w:color="auto" w:fill="FFFFFF"/>
        <w:tabs>
          <w:tab w:val="clear" w:pos="709"/>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3.18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numPr>
          <w:ilvl w:val="1"/>
          <w:numId w:val="2"/>
        </w:numPr>
        <w:shd w:val="clear" w:color="auto" w:fill="FFFFFF"/>
        <w:tabs>
          <w:tab w:val="clear" w:pos="709"/>
          <w:tab w:val="left" w:pos="1283" w:leader="none"/>
          <w:tab w:val="left" w:pos="1851" w:leader="none"/>
          <w:tab w:val="left" w:pos="4118" w:leader="none"/>
        </w:tabs>
        <w:ind w:left="0" w:firstLine="709"/>
        <w:jc w:val="both"/>
        <w:rPr>
          <w:sz w:val="24"/>
          <w:szCs w:val="24"/>
        </w:rPr>
      </w:pPr>
      <w:r>
        <w:rPr>
          <w:sz w:val="24"/>
          <w:szCs w:val="24"/>
        </w:rPr>
        <w:t>Стороны обязаны руководствоваться Постановлением Правительства Российской Федерации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ListParagraph"/>
        <w:widowControl/>
        <w:numPr>
          <w:ilvl w:val="1"/>
          <w:numId w:val="2"/>
        </w:numPr>
        <w:shd w:val="clear" w:color="auto" w:fill="FFFFFF"/>
        <w:tabs>
          <w:tab w:val="clear" w:pos="709"/>
          <w:tab w:val="left" w:pos="1134" w:leader="none"/>
          <w:tab w:val="left" w:pos="1276" w:leader="none"/>
          <w:tab w:val="left" w:pos="1418" w:leader="none"/>
          <w:tab w:val="left" w:pos="1855"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i/>
          <w:i/>
          <w:color w:val="2E74B5" w:themeColor="accent1" w:themeShade="bf"/>
          <w:sz w:val="24"/>
          <w:szCs w:val="24"/>
        </w:rPr>
      </w:pPr>
      <w:r>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Pr>
          <w:i/>
          <w:color w:val="2E74B5" w:themeColor="accent1" w:themeShade="bf"/>
          <w:sz w:val="24"/>
          <w:szCs w:val="24"/>
        </w:rPr>
        <w:t>*(если контрагент является плательщиком НДС).</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Pr>
          <w:i/>
          <w:color w:val="2E74B5" w:themeColor="accent1" w:themeShade="bf"/>
          <w:sz w:val="24"/>
          <w:szCs w:val="24"/>
        </w:rPr>
        <w:t>*(если контрагент является плательщиком НДС).</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w:t>
      </w:r>
      <w:r>
        <w:rPr>
          <w:sz w:val="24"/>
          <w:szCs w:val="24"/>
          <w:highlight w:val="lightGray"/>
        </w:rPr>
        <w:t>Приложения №</w:t>
      </w:r>
      <w:r>
        <w:rPr>
          <w:sz w:val="24"/>
          <w:szCs w:val="24"/>
        </w:rPr>
        <w:t xml:space="preserve">3. </w:t>
      </w:r>
      <w:r>
        <w:rPr>
          <w:i/>
          <w:color w:val="2E74B5" w:themeColor="accent1" w:themeShade="bf"/>
          <w:sz w:val="24"/>
          <w:szCs w:val="24"/>
        </w:rPr>
        <w:t>(если контрагент не является плательщиком НДС).</w:t>
      </w:r>
    </w:p>
    <w:p>
      <w:pPr>
        <w:pStyle w:val="ListParagraph"/>
        <w:numPr>
          <w:ilvl w:val="1"/>
          <w:numId w:val="2"/>
        </w:numPr>
        <w:ind w:left="0" w:firstLine="709"/>
        <w:jc w:val="both"/>
        <w:rPr>
          <w:sz w:val="24"/>
          <w:szCs w:val="24"/>
        </w:rPr>
      </w:pPr>
      <w:r>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pPr>
        <w:pStyle w:val="Normal"/>
        <w:widowControl/>
        <w:shd w:val="clear" w:color="auto" w:fill="FFFFFF"/>
        <w:tabs>
          <w:tab w:val="clear" w:pos="709"/>
          <w:tab w:val="left" w:pos="1134" w:leader="none"/>
          <w:tab w:val="left" w:pos="1418" w:leader="none"/>
        </w:tabs>
        <w:ind w:firstLine="709"/>
        <w:jc w:val="both"/>
        <w:rPr>
          <w:sz w:val="24"/>
          <w:szCs w:val="24"/>
        </w:rPr>
      </w:pPr>
      <w:r>
        <w:rPr>
          <w:sz w:val="24"/>
          <w:szCs w:val="24"/>
        </w:rPr>
      </w:r>
    </w:p>
    <w:p>
      <w:pPr>
        <w:pStyle w:val="ListParagraph"/>
        <w:numPr>
          <w:ilvl w:val="0"/>
          <w:numId w:val="2"/>
        </w:numPr>
        <w:shd w:val="clear" w:color="auto" w:fill="FFFFFF"/>
        <w:ind w:left="0" w:hanging="0"/>
        <w:jc w:val="center"/>
        <w:rPr>
          <w:b/>
          <w:sz w:val="24"/>
          <w:szCs w:val="24"/>
        </w:rPr>
      </w:pPr>
      <w:r>
        <w:rPr>
          <w:b/>
          <w:sz w:val="24"/>
          <w:szCs w:val="24"/>
        </w:rPr>
        <w:t>Гарантийный срок</w:t>
      </w:r>
      <w:r>
        <w:rPr>
          <w:rStyle w:val="FootnoteReference"/>
          <w:b/>
          <w:sz w:val="24"/>
          <w:szCs w:val="24"/>
        </w:rPr>
        <w:footnoteReference w:id="7"/>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Гарантийный срок на Товар, поставленный по Договору, устанавливается предприятием-изготовителем и указывается в Спецификации.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pPr>
        <w:pStyle w:val="Normal"/>
        <w:numPr>
          <w:ilvl w:val="1"/>
          <w:numId w:val="2"/>
        </w:numPr>
        <w:shd w:val="clear" w:color="auto" w:fill="FFFFFF"/>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widowContro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widowControl/>
        <w:shd w:val="clear" w:color="auto" w:fill="FFFFFF"/>
        <w:tabs>
          <w:tab w:val="clear" w:pos="709"/>
          <w:tab w:val="left" w:pos="1134" w:leader="none"/>
        </w:tabs>
        <w:ind w:firstLine="709"/>
        <w:jc w:val="both"/>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pPr>
        <w:pStyle w:val="ListParagraph"/>
        <w:widowContro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shd w:val="clear" w:color="auto" w:fill="FFFFFF"/>
        <w:tabs>
          <w:tab w:val="clear" w:pos="709"/>
          <w:tab w:val="left" w:pos="1134" w:leader="none"/>
        </w:tabs>
        <w:ind w:left="709" w:hanging="0"/>
        <w:jc w:val="both"/>
        <w:rPr>
          <w:sz w:val="24"/>
          <w:szCs w:val="24"/>
        </w:rPr>
      </w:pPr>
      <w:r>
        <w:rPr>
          <w:sz w:val="24"/>
          <w:szCs w:val="24"/>
        </w:rPr>
      </w:r>
    </w:p>
    <w:p>
      <w:pPr>
        <w:pStyle w:val="Normal"/>
        <w:numPr>
          <w:ilvl w:val="0"/>
          <w:numId w:val="2"/>
        </w:numPr>
        <w:shd w:val="clear" w:color="auto" w:fill="FFFFFF"/>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276"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numPr>
          <w:ilvl w:val="1"/>
          <w:numId w:val="2"/>
        </w:numPr>
        <w:tabs>
          <w:tab w:val="clear" w:pos="709"/>
          <w:tab w:val="left" w:pos="1276" w:leader="none"/>
        </w:tabs>
        <w:ind w:left="0" w:firstLine="709"/>
        <w:jc w:val="both"/>
        <w:rPr>
          <w:sz w:val="24"/>
          <w:szCs w:val="24"/>
        </w:rPr>
      </w:pPr>
      <w:r>
        <w:rPr>
          <w:bCs/>
          <w:sz w:val="24"/>
          <w:szCs w:val="24"/>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widowControl/>
        <w:tabs>
          <w:tab w:val="clear" w:pos="709"/>
          <w:tab w:val="left" w:pos="1276" w:leader="none"/>
        </w:tabs>
        <w:ind w:firstLine="709"/>
        <w:jc w:val="both"/>
        <w:rPr>
          <w:bCs/>
          <w:sz w:val="24"/>
          <w:szCs w:val="24"/>
        </w:rPr>
      </w:pPr>
      <w:r>
        <w:rPr>
          <w:bCs/>
          <w:sz w:val="24"/>
          <w:szCs w:val="24"/>
        </w:rPr>
        <w:t>5.3.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pPr>
        <w:pStyle w:val="ListParagraph"/>
        <w:widowControl/>
        <w:tabs>
          <w:tab w:val="clear" w:pos="709"/>
          <w:tab w:val="left" w:pos="633" w:leader="none"/>
        </w:tabs>
        <w:ind w:left="0" w:firstLine="709"/>
        <w:jc w:val="both"/>
        <w:rPr>
          <w:bCs/>
          <w:sz w:val="24"/>
          <w:szCs w:val="24"/>
        </w:rPr>
      </w:pPr>
      <w:r>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pPr>
        <w:pStyle w:val="ListParagraph"/>
        <w:widowControl/>
        <w:tabs>
          <w:tab w:val="clear" w:pos="709"/>
          <w:tab w:val="left" w:pos="633" w:leader="none"/>
        </w:tabs>
        <w:ind w:left="0" w:firstLine="709"/>
        <w:jc w:val="both"/>
        <w:rPr>
          <w:bCs/>
          <w:sz w:val="24"/>
          <w:szCs w:val="24"/>
        </w:rPr>
      </w:pPr>
      <w:r>
        <w:rPr>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ListParagraph"/>
        <w:widowControl/>
        <w:tabs>
          <w:tab w:val="clear" w:pos="709"/>
          <w:tab w:val="left" w:pos="1276" w:leader="none"/>
        </w:tabs>
        <w:ind w:left="0" w:firstLine="709"/>
        <w:jc w:val="both"/>
        <w:rPr>
          <w:bCs/>
          <w:sz w:val="24"/>
          <w:szCs w:val="24"/>
        </w:rPr>
      </w:pPr>
      <w:r>
        <w:rPr>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widowControl/>
        <w:tabs>
          <w:tab w:val="clear" w:pos="709"/>
          <w:tab w:val="left" w:pos="1701" w:leader="none"/>
        </w:tabs>
        <w:ind w:firstLine="709"/>
        <w:jc w:val="both"/>
        <w:rPr>
          <w:rFonts w:eastAsia="Calibri"/>
          <w:bCs/>
          <w:sz w:val="24"/>
          <w:szCs w:val="24"/>
        </w:rPr>
      </w:pPr>
      <w:r>
        <w:rPr>
          <w:sz w:val="24"/>
          <w:szCs w:val="24"/>
        </w:rPr>
        <w:t xml:space="preserve">5.4. </w:t>
      </w:r>
      <w:r>
        <w:rPr>
          <w:rFonts w:eastAsia="Calibri"/>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pPr>
        <w:pStyle w:val="ListParagraph"/>
        <w:widowControl/>
        <w:shd w:val="clear" w:color="auto" w:fill="FFFFFF"/>
        <w:tabs>
          <w:tab w:val="clear" w:pos="709"/>
          <w:tab w:val="left" w:pos="1276" w:leader="none"/>
        </w:tabs>
        <w:ind w:left="0" w:firstLine="709"/>
        <w:jc w:val="both"/>
        <w:rPr>
          <w:bCs/>
          <w:sz w:val="24"/>
          <w:szCs w:val="24"/>
        </w:rPr>
      </w:pP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widowControl/>
        <w:shd w:val="clear" w:color="auto" w:fill="FFFFFF"/>
        <w:tabs>
          <w:tab w:val="clear" w:pos="709"/>
          <w:tab w:val="left" w:pos="1276" w:leader="none"/>
        </w:tabs>
        <w:ind w:left="0" w:firstLine="709"/>
        <w:jc w:val="both"/>
        <w:rPr/>
      </w:pP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t xml:space="preserve"> </w:t>
      </w:r>
    </w:p>
    <w:p>
      <w:pPr>
        <w:pStyle w:val="ListParagraph"/>
        <w:ind w:left="0" w:firstLine="709"/>
        <w:jc w:val="both"/>
        <w:rPr>
          <w:bCs/>
          <w:i/>
          <w:i/>
          <w:color w:val="2E74B5" w:themeColor="accent1" w:themeShade="bf"/>
          <w:sz w:val="24"/>
          <w:szCs w:val="24"/>
        </w:rPr>
      </w:pPr>
      <w:r>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bCs/>
          <w:i/>
          <w:sz w:val="24"/>
          <w:szCs w:val="24"/>
        </w:rPr>
        <w:t xml:space="preserve"> </w:t>
      </w:r>
      <w:r>
        <w:rPr>
          <w:bCs/>
          <w:i/>
          <w:color w:val="2E74B5" w:themeColor="accent1" w:themeShade="bf"/>
          <w:sz w:val="24"/>
          <w:szCs w:val="24"/>
        </w:rPr>
        <w:t>(Если Поставщик является плательщиком НДС).</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ListParagraph"/>
        <w:widowControl/>
        <w:numPr>
          <w:ilvl w:val="1"/>
          <w:numId w:val="11"/>
        </w:numPr>
        <w:shd w:val="clear" w:color="auto" w:fill="FFFFFF"/>
        <w:tabs>
          <w:tab w:val="clear" w:pos="709"/>
          <w:tab w:val="left" w:pos="1276" w:leader="none"/>
        </w:tabs>
        <w:ind w:left="0" w:firstLine="709"/>
        <w:jc w:val="both"/>
        <w:rPr>
          <w:sz w:val="24"/>
          <w:szCs w:val="24"/>
        </w:rPr>
      </w:pPr>
      <w:r>
        <w:rPr>
          <w:bCs/>
          <w:sz w:val="24"/>
          <w:szCs w:val="24"/>
        </w:rPr>
        <w:t>Уступка</w:t>
      </w:r>
      <w:r>
        <w:rPr>
          <w:sz w:val="24"/>
          <w:szCs w:val="24"/>
        </w:rPr>
        <w:t xml:space="preserve">,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pPr>
        <w:pStyle w:val="ListParagraph"/>
        <w:widowControl/>
        <w:numPr>
          <w:ilvl w:val="1"/>
          <w:numId w:val="11"/>
        </w:numPr>
        <w:shd w:val="clear" w:color="auto" w:fill="FFFFFF"/>
        <w:tabs>
          <w:tab w:val="clear" w:pos="709"/>
          <w:tab w:val="left" w:pos="1276" w:leader="none"/>
        </w:tabs>
        <w:ind w:left="0"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pPr>
        <w:pStyle w:val="ListParagraph"/>
        <w:widowControl/>
        <w:numPr>
          <w:ilvl w:val="1"/>
          <w:numId w:val="11"/>
        </w:numPr>
        <w:shd w:val="clear" w:color="auto" w:fill="FFFFFF"/>
        <w:tabs>
          <w:tab w:val="clear" w:pos="709"/>
          <w:tab w:val="left" w:pos="1276" w:leader="none"/>
        </w:tabs>
        <w:ind w:left="0" w:firstLine="709"/>
        <w:jc w:val="both"/>
        <w:rPr>
          <w:bCs/>
          <w:sz w:val="24"/>
          <w:szCs w:val="24"/>
        </w:rPr>
      </w:pPr>
      <w:r>
        <w:rPr>
          <w:bCs/>
          <w:sz w:val="24"/>
          <w:szCs w:val="24"/>
        </w:rPr>
        <w:t xml:space="preserve">За не поставку Товара Поставщик уплачивает Покупателю штраф в размере 10 (десяти) процентов от стоимости Договора. </w:t>
      </w:r>
    </w:p>
    <w:p>
      <w:pPr>
        <w:pStyle w:val="Normal"/>
        <w:shd w:val="clear" w:color="auto" w:fill="FFFFFF"/>
        <w:ind w:firstLine="709"/>
        <w:jc w:val="both"/>
        <w:rPr>
          <w:sz w:val="24"/>
          <w:szCs w:val="24"/>
        </w:rPr>
      </w:pPr>
      <w:r>
        <w:rPr>
          <w:sz w:val="24"/>
          <w:szCs w:val="24"/>
        </w:rPr>
      </w:r>
    </w:p>
    <w:p>
      <w:pPr>
        <w:pStyle w:val="ListParagraph"/>
        <w:widowControl/>
        <w:numPr>
          <w:ilvl w:val="0"/>
          <w:numId w:val="11"/>
        </w:numPr>
        <w:shd w:val="clear" w:color="auto" w:fill="FFFFFF"/>
        <w:tabs>
          <w:tab w:val="clear" w:pos="709"/>
          <w:tab w:val="left" w:pos="0" w:leader="none"/>
        </w:tabs>
        <w:ind w:left="0" w:hanging="0"/>
        <w:jc w:val="center"/>
        <w:rPr>
          <w:b/>
          <w:bCs/>
          <w:sz w:val="24"/>
          <w:szCs w:val="24"/>
        </w:rPr>
      </w:pPr>
      <w:r>
        <w:rPr>
          <w:b/>
          <w:bCs/>
          <w:sz w:val="24"/>
          <w:szCs w:val="24"/>
        </w:rPr>
        <w:t>Конфиденциальность</w:t>
      </w:r>
    </w:p>
    <w:p>
      <w:pPr>
        <w:pStyle w:val="ListParagraph"/>
        <w:widowControl/>
        <w:numPr>
          <w:ilvl w:val="1"/>
          <w:numId w:val="12"/>
        </w:numPr>
        <w:shd w:val="clear" w:color="auto" w:fill="FFFFFF"/>
        <w:tabs>
          <w:tab w:val="left" w:pos="0" w:leader="none"/>
          <w:tab w:val="left" w:pos="709"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1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1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12"/>
        </w:numPr>
        <w:shd w:val="clear" w:color="auto" w:fill="FFFFFF"/>
        <w:tabs>
          <w:tab w:val="clear" w:pos="709"/>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1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товара Покупателя и их аффилированных лицах;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товара и услуг Покупателя или его аффилированных лиц;</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12"/>
        </w:numPr>
        <w:shd w:val="clear" w:color="auto" w:fill="FFFFFF"/>
        <w:tabs>
          <w:tab w:val="clear" w:pos="709"/>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12"/>
        </w:numPr>
        <w:shd w:val="clear" w:color="auto" w:fill="FFFFFF"/>
        <w:tabs>
          <w:tab w:val="clear" w:pos="709"/>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12"/>
        </w:numPr>
        <w:shd w:val="clear" w:color="auto" w:fill="FFFFFF"/>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12"/>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shd w:val="clear" w:color="auto" w:fill="FFFFFF"/>
        <w:jc w:val="both"/>
        <w:rPr>
          <w:sz w:val="24"/>
          <w:szCs w:val="24"/>
        </w:rPr>
      </w:pPr>
      <w:r>
        <w:rPr>
          <w:sz w:val="24"/>
          <w:szCs w:val="24"/>
        </w:rPr>
      </w:r>
    </w:p>
    <w:p>
      <w:pPr>
        <w:pStyle w:val="ListParagraph"/>
        <w:widowControl/>
        <w:numPr>
          <w:ilvl w:val="0"/>
          <w:numId w:val="12"/>
        </w:numPr>
        <w:shd w:val="clear" w:color="auto" w:fill="FFFFFF"/>
        <w:ind w:left="0" w:hanging="0"/>
        <w:jc w:val="center"/>
        <w:rPr>
          <w:b/>
          <w:bCs/>
          <w:sz w:val="24"/>
          <w:szCs w:val="24"/>
        </w:rPr>
      </w:pPr>
      <w:r>
        <w:rPr>
          <w:b/>
          <w:bCs/>
          <w:sz w:val="24"/>
          <w:szCs w:val="24"/>
        </w:rPr>
        <w:t>Антикоррупционная оговорка</w:t>
      </w:r>
    </w:p>
    <w:p>
      <w:pPr>
        <w:pStyle w:val="Normal"/>
        <w:numPr>
          <w:ilvl w:val="1"/>
          <w:numId w:val="12"/>
        </w:numPr>
        <w:shd w:val="clear" w:color="auto" w:fill="FFFFFF"/>
        <w:ind w:left="0" w:firstLine="709"/>
        <w:jc w:val="both"/>
        <w:rPr>
          <w:bCs/>
          <w:sz w:val="24"/>
          <w:szCs w:val="24"/>
        </w:rPr>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 / 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12"/>
        </w:numPr>
        <w:shd w:val="clear" w:color="auto" w:fill="FFFFFF"/>
        <w:ind w:left="0" w:firstLine="709"/>
        <w:jc w:val="both"/>
        <w:rPr>
          <w:bCs/>
          <w:sz w:val="24"/>
          <w:szCs w:val="24"/>
        </w:rPr>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12"/>
        </w:numPr>
        <w:shd w:val="clear" w:color="auto" w:fill="FFFFFF"/>
        <w:ind w:left="0" w:firstLine="709"/>
        <w:jc w:val="both"/>
        <w:rPr>
          <w:bCs/>
          <w:sz w:val="24"/>
          <w:szCs w:val="24"/>
        </w:rPr>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12"/>
        </w:numPr>
        <w:shd w:val="clear" w:color="auto" w:fill="FFFFFF"/>
        <w:ind w:left="0" w:firstLine="709"/>
        <w:jc w:val="both"/>
        <w:rPr>
          <w:bCs/>
          <w:sz w:val="24"/>
          <w:szCs w:val="24"/>
        </w:rPr>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12"/>
        </w:numPr>
        <w:shd w:val="clear" w:color="auto" w:fill="FFFFFF"/>
        <w:ind w:left="0" w:firstLine="709"/>
        <w:jc w:val="both"/>
        <w:rPr>
          <w:bCs/>
          <w:sz w:val="24"/>
          <w:szCs w:val="24"/>
        </w:rPr>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12"/>
        </w:numPr>
        <w:shd w:val="clear" w:color="auto" w:fill="FFFFFF"/>
        <w:ind w:left="0" w:firstLine="709"/>
        <w:jc w:val="both"/>
        <w:rPr>
          <w:bCs/>
          <w:sz w:val="24"/>
          <w:szCs w:val="24"/>
        </w:rPr>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numPr>
          <w:ilvl w:val="1"/>
          <w:numId w:val="12"/>
        </w:numPr>
        <w:shd w:val="clear" w:color="auto" w:fill="FFFFFF"/>
        <w:ind w:left="0" w:firstLine="709"/>
        <w:jc w:val="both"/>
        <w:rPr>
          <w:bCs/>
          <w:sz w:val="24"/>
          <w:szCs w:val="24"/>
        </w:rPr>
      </w:pPr>
      <w:r>
        <w:rPr>
          <w:bCs/>
          <w:sz w:val="24"/>
          <w:szCs w:val="24"/>
        </w:rPr>
        <w:t xml:space="preserve">Каналы связи Линия доверия Группы РусГидро: </w:t>
      </w:r>
    </w:p>
    <w:p>
      <w:pPr>
        <w:pStyle w:val="ListParagraph"/>
        <w:numPr>
          <w:ilvl w:val="2"/>
          <w:numId w:val="12"/>
        </w:numPr>
        <w:shd w:val="clear" w:color="auto" w:fill="FFFFFF"/>
        <w:ind w:left="0" w:firstLine="709"/>
        <w:jc w:val="both"/>
        <w:rPr>
          <w:bCs/>
          <w:sz w:val="24"/>
          <w:szCs w:val="24"/>
        </w:rPr>
      </w:pPr>
      <w:r>
        <w:rPr>
          <w:bCs/>
          <w:sz w:val="24"/>
          <w:szCs w:val="24"/>
        </w:rPr>
        <w:t>Электронная почта: ld@rushydro.ru.</w:t>
      </w:r>
    </w:p>
    <w:p>
      <w:pPr>
        <w:pStyle w:val="ListParagraph"/>
        <w:numPr>
          <w:ilvl w:val="2"/>
          <w:numId w:val="12"/>
        </w:numPr>
        <w:shd w:val="clear" w:color="auto" w:fill="FFFFFF"/>
        <w:ind w:left="0" w:firstLine="709"/>
        <w:jc w:val="both"/>
        <w:rPr>
          <w:bCs/>
          <w:sz w:val="24"/>
          <w:szCs w:val="24"/>
        </w:rPr>
      </w:pPr>
      <w:r>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12"/>
        </w:numPr>
        <w:shd w:val="clear" w:color="auto" w:fill="FFFFFF"/>
        <w:ind w:left="0" w:firstLine="709"/>
        <w:jc w:val="both"/>
        <w:rPr>
          <w:bCs/>
          <w:sz w:val="24"/>
          <w:szCs w:val="24"/>
        </w:rPr>
      </w:pPr>
      <w:r>
        <w:rPr>
          <w:bCs/>
          <w:sz w:val="24"/>
          <w:szCs w:val="24"/>
        </w:rPr>
        <w:t>Телефонный автоответчик (необходимо позвонить по телефону +7 (495) 785-09-37 (круглосуточно), дождаться сигнала о начале записи и оставить устное обращение).</w:t>
      </w:r>
    </w:p>
    <w:p>
      <w:pPr>
        <w:pStyle w:val="Normal"/>
        <w:shd w:val="clear" w:color="auto" w:fill="FFFFFF"/>
        <w:ind w:left="709" w:hanging="0"/>
        <w:jc w:val="both"/>
        <w:rPr>
          <w:bCs/>
          <w:sz w:val="24"/>
          <w:szCs w:val="24"/>
        </w:rPr>
      </w:pPr>
      <w:r>
        <w:rPr>
          <w:bCs/>
          <w:sz w:val="24"/>
          <w:szCs w:val="24"/>
        </w:rPr>
      </w:r>
    </w:p>
    <w:p>
      <w:pPr>
        <w:pStyle w:val="ListParagraph"/>
        <w:widowControl/>
        <w:numPr>
          <w:ilvl w:val="0"/>
          <w:numId w:val="12"/>
        </w:numPr>
        <w:shd w:val="clear" w:color="auto" w:fill="FFFFFF"/>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12"/>
        </w:numPr>
        <w:shd w:val="clear" w:color="auto" w:fill="FFFFFF"/>
        <w:tabs>
          <w:tab w:val="clear" w:pos="709"/>
          <w:tab w:val="left" w:pos="0" w:leader="none"/>
          <w:tab w:val="left" w:pos="1134"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12"/>
        </w:numPr>
        <w:shd w:val="clear" w:color="auto" w:fill="FFFFFF"/>
        <w:tabs>
          <w:tab w:val="clear" w:pos="709"/>
          <w:tab w:val="left" w:pos="0" w:leader="none"/>
          <w:tab w:val="left" w:pos="1134"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12"/>
        </w:numPr>
        <w:shd w:val="clear" w:color="auto" w:fill="FFFFFF"/>
        <w:tabs>
          <w:tab w:val="clear" w:pos="709"/>
          <w:tab w:val="left" w:pos="0" w:leader="none"/>
          <w:tab w:val="left" w:pos="1134"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12"/>
        </w:numPr>
        <w:shd w:val="clear" w:color="auto" w:fill="FFFFFF"/>
        <w:tabs>
          <w:tab w:val="clear" w:pos="709"/>
          <w:tab w:val="left" w:pos="0" w:leader="none"/>
          <w:tab w:val="left" w:pos="1134" w:leader="none"/>
          <w:tab w:val="left" w:pos="1418" w:leader="none"/>
        </w:tabs>
        <w:ind w:left="0" w:firstLine="709"/>
        <w:jc w:val="both"/>
        <w:rPr>
          <w:bCs/>
          <w:sz w:val="24"/>
          <w:szCs w:val="24"/>
        </w:rPr>
      </w:pPr>
      <w:r>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pPr>
        <w:pStyle w:val="ListParagraph"/>
        <w:widowControl/>
        <w:numPr>
          <w:ilvl w:val="1"/>
          <w:numId w:val="12"/>
        </w:numPr>
        <w:shd w:val="clear" w:color="auto" w:fill="FFFFFF"/>
        <w:tabs>
          <w:tab w:val="clear" w:pos="709"/>
          <w:tab w:val="left" w:pos="0" w:leader="none"/>
          <w:tab w:val="left" w:pos="1134"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12"/>
        </w:numPr>
        <w:shd w:val="clear" w:color="auto" w:fill="FFFFFF"/>
        <w:tabs>
          <w:tab w:val="clear" w:pos="709"/>
          <w:tab w:val="left" w:pos="0" w:leader="none"/>
          <w:tab w:val="left" w:pos="568" w:leader="none"/>
          <w:tab w:val="left" w:pos="1134"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ind w:firstLine="709"/>
        <w:jc w:val="both"/>
        <w:rPr>
          <w:sz w:val="24"/>
          <w:szCs w:val="24"/>
        </w:rPr>
      </w:pPr>
      <w:r>
        <w:rPr>
          <w:sz w:val="24"/>
          <w:szCs w:val="24"/>
        </w:rPr>
      </w:r>
    </w:p>
    <w:p>
      <w:pPr>
        <w:pStyle w:val="Normal"/>
        <w:widowControl/>
        <w:numPr>
          <w:ilvl w:val="0"/>
          <w:numId w:val="12"/>
        </w:numPr>
        <w:shd w:val="clear" w:color="auto" w:fill="FFFFFF"/>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12"/>
        </w:numPr>
        <w:shd w:val="clear" w:color="auto" w:fill="FFFFFF"/>
        <w:tabs>
          <w:tab w:val="clear" w:pos="709"/>
          <w:tab w:val="left" w:pos="0" w:leader="none"/>
          <w:tab w:val="left" w:pos="56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12"/>
        </w:numPr>
        <w:shd w:val="clear" w:color="auto" w:fill="FFFFFF"/>
        <w:tabs>
          <w:tab w:val="clear" w:pos="709"/>
          <w:tab w:val="left" w:pos="0" w:leader="none"/>
          <w:tab w:val="left" w:pos="56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pPr>
        <w:pStyle w:val="ListParagraph"/>
        <w:widowControl/>
        <w:numPr>
          <w:ilvl w:val="1"/>
          <w:numId w:val="12"/>
        </w:numPr>
        <w:shd w:val="clear" w:color="auto" w:fill="FFFFFF"/>
        <w:tabs>
          <w:tab w:val="clear" w:pos="709"/>
          <w:tab w:val="left" w:pos="0" w:leader="none"/>
          <w:tab w:val="left" w:pos="568" w:leader="none"/>
        </w:tabs>
        <w:ind w:left="0" w:firstLine="709"/>
        <w:jc w:val="both"/>
        <w:rPr>
          <w:bCs/>
          <w:sz w:val="24"/>
          <w:szCs w:val="24"/>
        </w:rPr>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12"/>
        </w:numPr>
        <w:shd w:val="clear" w:color="auto" w:fill="FFFFFF"/>
        <w:tabs>
          <w:tab w:val="clear" w:pos="709"/>
          <w:tab w:val="left" w:pos="0" w:leader="none"/>
          <w:tab w:val="left" w:pos="56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pPr>
        <w:pStyle w:val="ListParagraph"/>
        <w:widowControl/>
        <w:numPr>
          <w:ilvl w:val="1"/>
          <w:numId w:val="12"/>
        </w:numPr>
        <w:shd w:val="clear" w:color="auto" w:fill="FFFFFF"/>
        <w:tabs>
          <w:tab w:val="clear" w:pos="709"/>
          <w:tab w:val="left" w:pos="0" w:leader="none"/>
          <w:tab w:val="left" w:pos="568" w:leader="none"/>
        </w:tabs>
        <w:ind w:left="0" w:firstLine="709"/>
        <w:jc w:val="both"/>
        <w:rPr>
          <w:bCs/>
          <w:sz w:val="24"/>
          <w:szCs w:val="24"/>
        </w:rPr>
      </w:pPr>
      <w:r>
        <w:rPr>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pPr>
        <w:pStyle w:val="ListParagraph"/>
        <w:widowControl/>
        <w:numPr>
          <w:ilvl w:val="1"/>
          <w:numId w:val="12"/>
        </w:numPr>
        <w:shd w:val="clear" w:color="auto" w:fill="FFFFFF"/>
        <w:tabs>
          <w:tab w:val="clear" w:pos="709"/>
          <w:tab w:val="left" w:pos="0" w:leader="none"/>
          <w:tab w:val="left" w:pos="56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12"/>
        </w:numPr>
        <w:shd w:val="clear" w:color="auto" w:fill="FFFFFF"/>
        <w:tabs>
          <w:tab w:val="clear" w:pos="709"/>
          <w:tab w:val="left" w:pos="0" w:leader="none"/>
          <w:tab w:val="left" w:pos="568" w:leader="none"/>
        </w:tabs>
        <w:ind w:left="0" w:firstLine="709"/>
        <w:jc w:val="both"/>
        <w:rPr>
          <w:bCs/>
          <w:sz w:val="24"/>
          <w:szCs w:val="24"/>
        </w:rPr>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pPr>
        <w:pStyle w:val="Normal"/>
        <w:shd w:val="clear" w:color="auto" w:fill="FFFFFF"/>
        <w:ind w:firstLine="709"/>
        <w:jc w:val="both"/>
        <w:rPr>
          <w:sz w:val="24"/>
          <w:szCs w:val="24"/>
        </w:rPr>
      </w:pPr>
      <w:r>
        <w:rPr>
          <w:sz w:val="24"/>
          <w:szCs w:val="24"/>
        </w:rPr>
      </w:r>
    </w:p>
    <w:p>
      <w:pPr>
        <w:pStyle w:val="ListParagraph"/>
        <w:widowControl/>
        <w:numPr>
          <w:ilvl w:val="0"/>
          <w:numId w:val="12"/>
        </w:numPr>
        <w:shd w:val="clear" w:color="auto" w:fill="FFFFFF"/>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12"/>
        </w:numPr>
        <w:shd w:val="clear" w:color="auto" w:fill="FFFFFF"/>
        <w:tabs>
          <w:tab w:val="clear" w:pos="709"/>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6"/>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12"/>
        </w:numPr>
        <w:shd w:val="clear" w:color="auto" w:fill="FFFFFF"/>
        <w:tabs>
          <w:tab w:val="clear" w:pos="709"/>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8"/>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7"/>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12"/>
        </w:numPr>
        <w:tabs>
          <w:tab w:val="clear" w:pos="709"/>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12"/>
        </w:numPr>
        <w:shd w:val="clear" w:color="auto" w:fill="FFFFFF"/>
        <w:tabs>
          <w:tab w:val="clear" w:pos="709"/>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12"/>
        </w:numPr>
        <w:shd w:val="clear" w:color="auto" w:fill="FFFFFF"/>
        <w:tabs>
          <w:tab w:val="clear" w:pos="709"/>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0" w:firstLine="709"/>
        <w:jc w:val="both"/>
        <w:rPr>
          <w:sz w:val="24"/>
          <w:szCs w:val="24"/>
        </w:rPr>
      </w:pPr>
      <w:r>
        <w:rPr>
          <w:sz w:val="24"/>
          <w:szCs w:val="24"/>
        </w:rPr>
      </w:r>
    </w:p>
    <w:p>
      <w:pPr>
        <w:pStyle w:val="ListParagraph"/>
        <w:widowControl/>
        <w:numPr>
          <w:ilvl w:val="0"/>
          <w:numId w:val="12"/>
        </w:numPr>
        <w:shd w:val="clear" w:color="auto" w:fill="FFFFFF"/>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12"/>
        </w:numPr>
        <w:shd w:val="clear" w:color="auto" w:fill="FFFFFF"/>
        <w:tabs>
          <w:tab w:val="clear" w:pos="709"/>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w:t>
      </w:r>
      <w:r>
        <w:rPr>
          <w:spacing w:val="2"/>
          <w:sz w:val="24"/>
          <w:szCs w:val="24"/>
        </w:rPr>
        <w:t>–</w:t>
      </w:r>
      <w:r>
        <w:rPr>
          <w:sz w:val="24"/>
          <w:szCs w:val="24"/>
        </w:rPr>
        <w:t>получателем в течение 30 (тридцати) календарных дней со дня его получения.</w:t>
      </w:r>
    </w:p>
    <w:p>
      <w:pPr>
        <w:pStyle w:val="ListParagraph"/>
        <w:widowControl/>
        <w:numPr>
          <w:ilvl w:val="1"/>
          <w:numId w:val="12"/>
        </w:numPr>
        <w:shd w:val="clear" w:color="auto" w:fill="FFFFFF"/>
        <w:tabs>
          <w:tab w:val="clear" w:pos="709"/>
          <w:tab w:val="left" w:pos="1418" w:leader="none"/>
        </w:tabs>
        <w:ind w:left="0" w:firstLine="709"/>
        <w:jc w:val="both"/>
        <w:rPr>
          <w:sz w:val="24"/>
          <w:szCs w:val="24"/>
        </w:rPr>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12"/>
        </w:numPr>
        <w:shd w:val="clear" w:color="auto" w:fill="FFFFFF"/>
        <w:tabs>
          <w:tab w:val="left" w:pos="709" w:leader="none"/>
          <w:tab w:val="left" w:pos="1418" w:leader="none"/>
        </w:tabs>
        <w:ind w:left="0" w:firstLine="709"/>
        <w:jc w:val="both"/>
        <w:rPr/>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pPr>
        <w:pStyle w:val="ListParagraph"/>
        <w:widowControl/>
        <w:shd w:val="clear" w:color="auto" w:fill="FFFFFF"/>
        <w:tabs>
          <w:tab w:val="clear" w:pos="709"/>
          <w:tab w:val="left" w:pos="1134" w:leader="none"/>
          <w:tab w:val="left" w:pos="1418" w:leader="none"/>
        </w:tabs>
        <w:ind w:left="0" w:firstLine="709"/>
        <w:jc w:val="both"/>
        <w:rPr/>
      </w:pPr>
      <w:r>
        <w:rPr>
          <w:sz w:val="24"/>
          <w:szCs w:val="24"/>
        </w:rPr>
        <w:t xml:space="preserve">Стороны установили, что существенным нарушением Договора Поставщиком является: </w:t>
      </w:r>
    </w:p>
    <w:p>
      <w:pPr>
        <w:pStyle w:val="NormalWeb"/>
        <w:numPr>
          <w:ilvl w:val="0"/>
          <w:numId w:val="10"/>
        </w:numPr>
        <w:tabs>
          <w:tab w:val="clear" w:pos="709"/>
          <w:tab w:val="left" w:pos="1418" w:leader="none"/>
        </w:tabs>
        <w:spacing w:beforeAutospacing="0" w:before="0" w:afterAutospacing="0" w:after="0"/>
        <w:ind w:left="0" w:firstLine="709"/>
        <w:jc w:val="both"/>
        <w:rPr/>
      </w:pPr>
      <w:r>
        <w:rP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pPr>
        <w:pStyle w:val="NormalWeb"/>
        <w:numPr>
          <w:ilvl w:val="0"/>
          <w:numId w:val="10"/>
        </w:numPr>
        <w:tabs>
          <w:tab w:val="clear" w:pos="709"/>
          <w:tab w:val="left" w:pos="1418" w:leader="none"/>
        </w:tabs>
        <w:spacing w:beforeAutospacing="0" w:before="0" w:afterAutospacing="0" w:after="0"/>
        <w:ind w:left="0" w:firstLine="709"/>
        <w:jc w:val="both"/>
        <w:rPr/>
      </w:pPr>
      <w:r>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pPr>
        <w:pStyle w:val="NormalWeb"/>
        <w:numPr>
          <w:ilvl w:val="0"/>
          <w:numId w:val="10"/>
        </w:numPr>
        <w:tabs>
          <w:tab w:val="clear" w:pos="709"/>
          <w:tab w:val="left" w:pos="1418" w:leader="none"/>
        </w:tabs>
        <w:spacing w:beforeAutospacing="0" w:before="0" w:afterAutospacing="0" w:after="0"/>
        <w:ind w:left="0" w:firstLine="709"/>
        <w:jc w:val="both"/>
        <w:rPr/>
      </w:pPr>
      <w:r>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pPr>
        <w:pStyle w:val="NormalWeb"/>
        <w:numPr>
          <w:ilvl w:val="0"/>
          <w:numId w:val="10"/>
        </w:numPr>
        <w:tabs>
          <w:tab w:val="clear" w:pos="709"/>
          <w:tab w:val="left" w:pos="1418" w:leader="none"/>
        </w:tabs>
        <w:spacing w:beforeAutospacing="0" w:before="0" w:afterAutospacing="0" w:after="0"/>
        <w:ind w:left="0" w:firstLine="709"/>
        <w:jc w:val="both"/>
        <w:rPr/>
      </w:pPr>
      <w:r>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pPr>
        <w:pStyle w:val="ListParagraph"/>
        <w:widowControl/>
        <w:numPr>
          <w:ilvl w:val="1"/>
          <w:numId w:val="12"/>
        </w:numPr>
        <w:shd w:val="clear" w:color="auto" w:fill="FFFFFF"/>
        <w:tabs>
          <w:tab w:val="clear" w:pos="709"/>
          <w:tab w:val="left" w:pos="1418" w:leader="none"/>
        </w:tabs>
        <w:ind w:left="0" w:firstLine="709"/>
        <w:jc w:val="both"/>
        <w:rPr>
          <w:sz w:val="24"/>
          <w:szCs w:val="24"/>
        </w:rPr>
      </w:pPr>
      <w:r>
        <w:rPr>
          <w:sz w:val="24"/>
          <w:szCs w:val="24"/>
        </w:rPr>
        <w:t>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numPr>
          <w:ilvl w:val="1"/>
          <w:numId w:val="12"/>
        </w:numPr>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numPr>
          <w:ilvl w:val="1"/>
          <w:numId w:val="12"/>
        </w:numPr>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1134" w:leader="none"/>
        </w:tabs>
        <w:ind w:left="0" w:firstLine="709"/>
        <w:jc w:val="both"/>
        <w:rPr>
          <w:sz w:val="24"/>
          <w:szCs w:val="24"/>
        </w:rPr>
      </w:pPr>
      <w:r>
        <w:rPr>
          <w:sz w:val="24"/>
          <w:szCs w:val="24"/>
        </w:rPr>
      </w:r>
    </w:p>
    <w:p>
      <w:pPr>
        <w:pStyle w:val="ListParagraph"/>
        <w:widowControl/>
        <w:numPr>
          <w:ilvl w:val="0"/>
          <w:numId w:val="12"/>
        </w:numPr>
        <w:shd w:val="clear" w:color="auto" w:fill="FFFFFF"/>
        <w:ind w:left="0" w:hanging="0"/>
        <w:jc w:val="center"/>
        <w:rPr>
          <w:b/>
          <w:bCs/>
          <w:sz w:val="24"/>
          <w:szCs w:val="24"/>
        </w:rPr>
      </w:pPr>
      <w:r>
        <w:rPr>
          <w:b/>
          <w:bCs/>
          <w:sz w:val="24"/>
          <w:szCs w:val="24"/>
        </w:rPr>
        <w:t>Разрешение споров</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ListParagraph"/>
        <w:shd w:val="clear" w:color="auto" w:fill="FFFFFF"/>
        <w:tabs>
          <w:tab w:val="clear" w:pos="709"/>
          <w:tab w:val="left" w:pos="0" w:leader="none"/>
          <w:tab w:val="left" w:pos="1418" w:leader="none"/>
        </w:tabs>
        <w:ind w:left="0" w:firstLine="709"/>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ListParagraph"/>
        <w:shd w:val="clear" w:color="auto" w:fill="FFFFFF"/>
        <w:tabs>
          <w:tab w:val="clear" w:pos="709"/>
          <w:tab w:val="left" w:pos="0" w:leader="none"/>
          <w:tab w:val="left" w:pos="1418" w:leader="none"/>
        </w:tabs>
        <w:ind w:left="0" w:firstLine="709"/>
        <w:jc w:val="both"/>
        <w:rPr>
          <w:bCs/>
          <w:sz w:val="24"/>
          <w:szCs w:val="24"/>
        </w:rPr>
      </w:pPr>
      <w:r>
        <w:rPr>
          <w:bCs/>
          <w:sz w:val="24"/>
          <w:szCs w:val="24"/>
        </w:rPr>
        <w:t>Претензия считается доставленной, если она:</w:t>
        <w:tab/>
      </w:r>
    </w:p>
    <w:p>
      <w:pPr>
        <w:pStyle w:val="ListParagraph"/>
        <w:shd w:val="clear" w:color="auto" w:fill="FFFFFF"/>
        <w:tabs>
          <w:tab w:val="clear" w:pos="709"/>
          <w:tab w:val="left" w:pos="0" w:leader="none"/>
          <w:tab w:val="left" w:pos="1418" w:leader="none"/>
        </w:tabs>
        <w:ind w:left="0" w:firstLine="709"/>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ListParagraph"/>
        <w:shd w:val="clear" w:color="auto" w:fill="FFFFFF"/>
        <w:tabs>
          <w:tab w:val="clear" w:pos="709"/>
          <w:tab w:val="left" w:pos="0" w:leader="none"/>
          <w:tab w:val="left" w:pos="1418" w:leader="none"/>
        </w:tabs>
        <w:ind w:left="0" w:firstLine="709"/>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ListParagraph"/>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ListParagraph"/>
        <w:widowControl/>
        <w:shd w:val="clear" w:color="auto" w:fill="FFFFFF"/>
        <w:tabs>
          <w:tab w:val="clear" w:pos="709"/>
          <w:tab w:val="left" w:pos="0" w:leader="none"/>
        </w:tabs>
        <w:ind w:left="0" w:hanging="0"/>
        <w:jc w:val="both"/>
        <w:rPr>
          <w:bCs/>
          <w:sz w:val="24"/>
          <w:szCs w:val="24"/>
        </w:rPr>
      </w:pPr>
      <w:r>
        <w:rPr>
          <w:bCs/>
          <w:sz w:val="24"/>
          <w:szCs w:val="24"/>
        </w:rPr>
        <w:tab/>
        <w:t xml:space="preserve">12.4. 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shd w:val="clear" w:color="auto" w:fill="FFFFFF"/>
        <w:tabs>
          <w:tab w:val="clear" w:pos="709"/>
          <w:tab w:val="left" w:pos="0" w:leader="none"/>
          <w:tab w:val="left" w:pos="1418" w:leader="none"/>
        </w:tabs>
        <w:ind w:left="0" w:firstLine="709"/>
        <w:jc w:val="both"/>
        <w:rPr>
          <w:bCs/>
          <w:i/>
          <w:i/>
          <w:sz w:val="24"/>
          <w:szCs w:val="24"/>
        </w:rPr>
      </w:pPr>
      <w:r>
        <w:rPr>
          <w:bCs/>
          <w:sz w:val="24"/>
          <w:szCs w:val="24"/>
        </w:rPr>
        <w:t xml:space="preserve">12.5.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ListParagraph"/>
        <w:shd w:val="clear" w:color="auto" w:fill="FFFFFF"/>
        <w:tabs>
          <w:tab w:val="clear" w:pos="709"/>
          <w:tab w:val="left" w:pos="0" w:leader="none"/>
          <w:tab w:val="left" w:pos="1418" w:leader="none"/>
        </w:tabs>
        <w:ind w:left="0" w:firstLine="709"/>
        <w:jc w:val="both"/>
        <w:rPr>
          <w:bCs/>
          <w:sz w:val="24"/>
          <w:szCs w:val="24"/>
        </w:rPr>
      </w:pPr>
      <w:r>
        <w:rPr>
          <w:bCs/>
          <w:sz w:val="24"/>
          <w:szCs w:val="24"/>
        </w:rPr>
        <w:t>12.6. Условия настоящего раздела сохраняют свою силу в случае признания Договора незаключенным и / или недействительным.</w:t>
      </w:r>
    </w:p>
    <w:p>
      <w:pPr>
        <w:pStyle w:val="ListParagraph"/>
        <w:widowControl/>
        <w:shd w:val="clear" w:color="auto" w:fill="FFFFFF"/>
        <w:tabs>
          <w:tab w:val="clear" w:pos="709"/>
          <w:tab w:val="left" w:pos="142" w:leader="none"/>
        </w:tabs>
        <w:ind w:left="0" w:hanging="0"/>
        <w:jc w:val="both"/>
        <w:rPr>
          <w:bCs/>
          <w:sz w:val="24"/>
          <w:szCs w:val="24"/>
        </w:rPr>
      </w:pPr>
      <w:r>
        <w:rPr>
          <w:bCs/>
          <w:sz w:val="24"/>
          <w:szCs w:val="24"/>
        </w:rPr>
      </w:r>
    </w:p>
    <w:p>
      <w:pPr>
        <w:pStyle w:val="ListParagraph"/>
        <w:widowControl/>
        <w:numPr>
          <w:ilvl w:val="0"/>
          <w:numId w:val="12"/>
        </w:numPr>
        <w:shd w:val="clear" w:color="auto" w:fill="FFFFFF"/>
        <w:ind w:left="0" w:hanging="0"/>
        <w:jc w:val="center"/>
        <w:rPr>
          <w:b/>
          <w:bCs/>
          <w:sz w:val="24"/>
          <w:szCs w:val="24"/>
        </w:rPr>
      </w:pPr>
      <w:r>
        <w:rPr>
          <w:b/>
          <w:bCs/>
          <w:sz w:val="24"/>
          <w:szCs w:val="24"/>
        </w:rPr>
        <w:t>Заключительные положения</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но не позднее </w:t>
      </w:r>
      <w:r>
        <w:rPr>
          <w:sz w:val="24"/>
          <w:szCs w:val="24"/>
          <w:lang w:eastAsia="en-US"/>
        </w:rPr>
        <w:t>30.12.2026г.</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13.6 Договора. </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13.7 Договора.</w:t>
      </w:r>
      <w:bookmarkEnd w:id="9"/>
      <w:r>
        <w:rPr>
          <w:sz w:val="24"/>
          <w:szCs w:val="24"/>
        </w:rPr>
        <w:t xml:space="preserve"> </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bCs/>
          <w:sz w:val="24"/>
          <w:szCs w:val="24"/>
        </w:rPr>
      </w:pPr>
      <w:r>
        <w:rPr>
          <w:sz w:val="24"/>
          <w:szCs w:val="24"/>
        </w:rPr>
        <w:t xml:space="preserve">Письма, уведомления и / или сообщения направляются Стороне-получателю следующими способами: </w:t>
      </w:r>
    </w:p>
    <w:p>
      <w:pPr>
        <w:pStyle w:val="ListParagraph"/>
        <w:numPr>
          <w:ilvl w:val="2"/>
          <w:numId w:val="12"/>
        </w:numPr>
        <w:ind w:left="0" w:firstLine="709"/>
        <w:jc w:val="both"/>
        <w:rPr>
          <w:sz w:val="24"/>
          <w:szCs w:val="24"/>
        </w:rPr>
      </w:pPr>
      <w:r>
        <w:rPr>
          <w:bCs/>
          <w:sz w:val="24"/>
          <w:szCs w:val="24"/>
        </w:rPr>
        <w:t xml:space="preserve">Заказным почтовым отправлением с уведомлением о вручении </w:t>
      </w:r>
      <w:r>
        <w:rPr>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Pr>
          <w:bCs/>
          <w:sz w:val="24"/>
          <w:szCs w:val="24"/>
        </w:rPr>
        <w:t xml:space="preserve">–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sz w:val="24"/>
          <w:szCs w:val="24"/>
        </w:rPr>
      </w:pPr>
      <w:bookmarkStart w:id="10" w:name="_Ref361338019"/>
      <w:bookmarkEnd w:id="10"/>
      <w:r>
        <w:rPr>
          <w:bCs/>
          <w:sz w:val="24"/>
          <w:szCs w:val="24"/>
        </w:rPr>
        <w:t xml:space="preserve">13.7.2. Доставкой лично или курьером Стороны-отправителя </w:t>
      </w:r>
      <w:r>
        <w:rPr>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Pr>
          <w:bCs/>
          <w:sz w:val="24"/>
          <w:szCs w:val="24"/>
        </w:rPr>
        <w:t xml:space="preserve"> – в дату и время фактического приема уведомления Стороной-получателем с отметкой о получении</w:t>
      </w:r>
      <w:r>
        <w:rPr>
          <w:sz w:val="24"/>
          <w:szCs w:val="24"/>
        </w:rPr>
        <w:t xml:space="preserve">. </w:t>
      </w:r>
    </w:p>
    <w:p>
      <w:pPr>
        <w:pStyle w:val="ListParagraph"/>
        <w:ind w:left="0" w:firstLine="720"/>
        <w:jc w:val="both"/>
        <w:rPr>
          <w:bCs/>
          <w:sz w:val="24"/>
          <w:szCs w:val="24"/>
        </w:rPr>
      </w:pPr>
      <w:bookmarkStart w:id="11" w:name="_Ref361338032"/>
      <w:r>
        <w:rPr>
          <w:bCs/>
          <w:sz w:val="24"/>
          <w:szCs w:val="24"/>
        </w:rPr>
        <w:t xml:space="preserve">13.7.3. </w:t>
      </w:r>
      <w:bookmarkEnd w:id="11"/>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13.7.1 – 13.7.2 Договора. </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bCs/>
          <w:sz w:val="24"/>
          <w:szCs w:val="24"/>
        </w:rPr>
        <w:t>Договор заключается в электронной форме с использованием программно-аппаратных средств электронной площадки АО «РАД» (</w:t>
      </w:r>
      <w:hyperlink r:id="rId5">
        <w:r>
          <w:rPr>
            <w:rStyle w:val="Hyperlink"/>
            <w:bCs/>
            <w:color w:val="auto"/>
            <w:sz w:val="24"/>
            <w:szCs w:val="24"/>
          </w:rPr>
          <w:t>https://tender.lot-online.ru</w:t>
        </w:r>
      </w:hyperlink>
      <w:r>
        <w:rPr>
          <w:bCs/>
          <w:sz w:val="24"/>
          <w:szCs w:val="24"/>
        </w:rPr>
        <w:t xml:space="preserve">) путем его подписания усиленными квалифицированными электронными подписями уполномоченных представителей Сторон. </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bCs/>
          <w:sz w:val="24"/>
          <w:szCs w:val="24"/>
        </w:rPr>
      </w:pPr>
      <w:r>
        <w:rPr>
          <w:sz w:val="24"/>
          <w:szCs w:val="24"/>
        </w:rPr>
        <w:t>Датой подписания Договора считается дата последнего подписанта.</w:t>
      </w:r>
    </w:p>
    <w:p>
      <w:pPr>
        <w:pStyle w:val="ListParagraph"/>
        <w:widowControl/>
        <w:numPr>
          <w:ilvl w:val="1"/>
          <w:numId w:val="1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shd w:val="clear" w:color="auto" w:fill="FFFFFF"/>
        <w:tabs>
          <w:tab w:val="clear" w:pos="709"/>
          <w:tab w:val="left" w:pos="0" w:leader="none"/>
          <w:tab w:val="left" w:pos="1418" w:leader="none"/>
        </w:tabs>
        <w:ind w:left="709" w:hanging="0"/>
        <w:jc w:val="both"/>
        <w:rPr>
          <w:sz w:val="24"/>
          <w:szCs w:val="24"/>
        </w:rPr>
      </w:pPr>
      <w:r>
        <w:rPr>
          <w:sz w:val="24"/>
          <w:szCs w:val="24"/>
        </w:rPr>
      </w:r>
    </w:p>
    <w:p>
      <w:pPr>
        <w:pStyle w:val="Normal"/>
        <w:widowControl/>
        <w:numPr>
          <w:ilvl w:val="0"/>
          <w:numId w:val="12"/>
        </w:numPr>
        <w:shd w:val="clear" w:color="auto" w:fill="FFFFFF"/>
        <w:spacing w:before="0" w:after="0"/>
        <w:ind w:left="0" w:hanging="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9"/>
          <w:tab w:val="left" w:pos="0" w:leader="none"/>
        </w:tabs>
        <w:ind w:firstLine="709"/>
        <w:jc w:val="both"/>
        <w:rPr>
          <w:rFonts w:eastAsia="Calibri"/>
          <w:sz w:val="24"/>
          <w:szCs w:val="24"/>
          <w:lang w:eastAsia="en-US"/>
        </w:rPr>
      </w:pPr>
      <w:bookmarkStart w:id="12" w:name="sub_1"/>
      <w:r>
        <w:rPr>
          <w:rFonts w:eastAsia="Calibri"/>
          <w:sz w:val="24"/>
          <w:szCs w:val="24"/>
          <w:lang w:eastAsia="en-US"/>
        </w:rPr>
        <w:t>Приложение № 1 – Спецификация;</w:t>
      </w:r>
      <w:bookmarkEnd w:id="12"/>
    </w:p>
    <w:p>
      <w:pPr>
        <w:pStyle w:val="Normal"/>
        <w:ind w:firstLine="709"/>
        <w:jc w:val="both"/>
        <w:rPr>
          <w:bCs/>
          <w:sz w:val="24"/>
          <w:szCs w:val="24"/>
        </w:rPr>
      </w:pPr>
      <w:r>
        <w:rPr>
          <w:bCs/>
          <w:sz w:val="24"/>
          <w:szCs w:val="24"/>
        </w:rPr>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bCs/>
          <w:sz w:val="24"/>
          <w:szCs w:val="24"/>
        </w:rPr>
      </w:pPr>
      <w:r>
        <w:rPr>
          <w:bCs/>
          <w:sz w:val="24"/>
          <w:szCs w:val="24"/>
        </w:rPr>
        <w:t>Приложение № 3– Форма информационного письма налоговой инспекции о системе налогообложения.</w:t>
      </w:r>
    </w:p>
    <w:p>
      <w:pPr>
        <w:pStyle w:val="Normal"/>
        <w:ind w:firstLine="709"/>
        <w:jc w:val="both"/>
        <w:rPr>
          <w:bCs/>
          <w:sz w:val="24"/>
          <w:szCs w:val="24"/>
        </w:rPr>
      </w:pPr>
      <w:r>
        <w:rPr>
          <w:bCs/>
          <w:sz w:val="24"/>
          <w:szCs w:val="24"/>
        </w:rPr>
      </w:r>
    </w:p>
    <w:p>
      <w:pPr>
        <w:pStyle w:val="ListParagraph"/>
        <w:widowControl/>
        <w:numPr>
          <w:ilvl w:val="0"/>
          <w:numId w:val="12"/>
        </w:numPr>
        <w:shd w:val="clear" w:color="auto" w:fill="FFFFFF"/>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9"/>
          <w:tab w:val="left" w:pos="426" w:leader="none"/>
        </w:tabs>
        <w:ind w:left="0" w:firstLine="709"/>
        <w:rPr>
          <w:b/>
          <w:bCs/>
          <w:sz w:val="24"/>
          <w:szCs w:val="24"/>
        </w:rPr>
      </w:pPr>
      <w:r>
        <w:rPr>
          <w:b/>
          <w:bCs/>
          <w:sz w:val="24"/>
          <w:szCs w:val="24"/>
        </w:rPr>
      </w:r>
    </w:p>
    <w:tbl>
      <w:tblPr>
        <w:tblW w:w="9781"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927"/>
        <w:gridCol w:w="4853"/>
      </w:tblGrid>
      <w:tr>
        <w:trPr/>
        <w:tc>
          <w:tcPr>
            <w:tcW w:w="4927" w:type="dxa"/>
            <w:tcBorders/>
          </w:tcPr>
          <w:p>
            <w:pPr>
              <w:pStyle w:val="Normal"/>
              <w:widowControl w:val="false"/>
              <w:ind w:firstLine="314"/>
              <w:rPr>
                <w:b/>
                <w:sz w:val="24"/>
                <w:szCs w:val="24"/>
              </w:rPr>
            </w:pPr>
            <w:r>
              <w:rPr>
                <w:b/>
                <w:sz w:val="24"/>
                <w:szCs w:val="24"/>
              </w:rPr>
              <w:t>Покупатель:</w:t>
            </w:r>
          </w:p>
        </w:tc>
        <w:tc>
          <w:tcPr>
            <w:tcW w:w="4853" w:type="dxa"/>
            <w:tcBorders/>
          </w:tcPr>
          <w:p>
            <w:pPr>
              <w:pStyle w:val="Normal"/>
              <w:widowControl w:val="false"/>
              <w:rPr>
                <w:b/>
                <w:sz w:val="24"/>
                <w:szCs w:val="24"/>
              </w:rPr>
            </w:pPr>
            <w:r>
              <w:rPr>
                <w:b/>
                <w:sz w:val="24"/>
                <w:szCs w:val="24"/>
              </w:rPr>
              <w:t>Поставщик:</w:t>
            </w:r>
          </w:p>
          <w:p>
            <w:pPr>
              <w:pStyle w:val="Normal"/>
              <w:widowControl w:val="false"/>
              <w:rPr>
                <w:b/>
                <w:sz w:val="24"/>
                <w:szCs w:val="24"/>
              </w:rPr>
            </w:pPr>
            <w:r>
              <w:rPr>
                <w:b/>
                <w:sz w:val="24"/>
                <w:szCs w:val="24"/>
              </w:rPr>
            </w:r>
          </w:p>
        </w:tc>
      </w:tr>
      <w:tr>
        <w:trPr/>
        <w:tc>
          <w:tcPr>
            <w:tcW w:w="4927" w:type="dxa"/>
            <w:tcBorders/>
            <w:shd w:color="auto" w:fill="auto" w:val="clear"/>
          </w:tcPr>
          <w:tbl>
            <w:tblPr>
              <w:tblW w:w="4573"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573"/>
            </w:tblGrid>
            <w:tr>
              <w:trPr/>
              <w:tc>
                <w:tcPr>
                  <w:tcW w:w="4573" w:type="dxa"/>
                  <w:tcBorders/>
                  <w:shd w:color="auto" w:fill="auto" w:val="clear"/>
                </w:tcPr>
                <w:tbl>
                  <w:tblPr>
                    <w:tblW w:w="978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9781"/>
                  </w:tblGrid>
                  <w:tr>
                    <w:trPr/>
                    <w:tc>
                      <w:tcPr>
                        <w:tcW w:w="9781" w:type="dxa"/>
                        <w:tcBorders/>
                        <w:shd w:color="auto" w:fill="auto" w:val="clear"/>
                      </w:tcPr>
                      <w:tbl>
                        <w:tblPr>
                          <w:tblW w:w="4573"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573"/>
                        </w:tblGrid>
                        <w:tr>
                          <w:trPr/>
                          <w:tc>
                            <w:tcPr>
                              <w:tcW w:w="4573" w:type="dxa"/>
                              <w:tcBorders/>
                              <w:shd w:color="auto" w:fill="auto" w:val="clear"/>
                            </w:tcPr>
                            <w:p>
                              <w:pPr>
                                <w:pStyle w:val="Normal"/>
                                <w:widowControl w:val="false"/>
                                <w:ind w:left="-20" w:hanging="0"/>
                                <w:rPr>
                                  <w:b/>
                                  <w:sz w:val="24"/>
                                  <w:szCs w:val="24"/>
                                </w:rPr>
                              </w:pPr>
                              <w:r>
                                <w:rPr>
                                  <w:b/>
                                  <w:sz w:val="24"/>
                                  <w:szCs w:val="24"/>
                                </w:rPr>
                                <w:t>Публичное акционерное общество</w:t>
                              </w:r>
                            </w:p>
                            <w:p>
                              <w:pPr>
                                <w:pStyle w:val="Normal"/>
                                <w:widowControl w:val="false"/>
                                <w:ind w:left="-20" w:hanging="0"/>
                                <w:rPr>
                                  <w:b/>
                                  <w:sz w:val="24"/>
                                  <w:szCs w:val="24"/>
                                </w:rPr>
                              </w:pPr>
                              <w:r>
                                <w:rPr>
                                  <w:b/>
                                  <w:sz w:val="24"/>
                                  <w:szCs w:val="24"/>
                                </w:rPr>
                                <w:t>«Якутскэнерго» (ПАО «Якутскэнерго»)</w:t>
                              </w:r>
                            </w:p>
                            <w:p>
                              <w:pPr>
                                <w:pStyle w:val="Normal"/>
                                <w:widowControl w:val="false"/>
                                <w:ind w:left="-20" w:hanging="0"/>
                                <w:rPr>
                                  <w:sz w:val="24"/>
                                  <w:szCs w:val="24"/>
                                </w:rPr>
                              </w:pPr>
                              <w:r>
                                <w:rPr>
                                  <w:sz w:val="24"/>
                                  <w:szCs w:val="24"/>
                                </w:rPr>
                                <w:t>Юридический адрес:</w:t>
                              </w:r>
                            </w:p>
                            <w:p>
                              <w:pPr>
                                <w:pStyle w:val="Standard"/>
                                <w:widowControl w:val="false"/>
                                <w:spacing w:lineRule="exact" w:line="283"/>
                                <w:ind w:left="-20" w:hanging="0"/>
                                <w:rPr>
                                  <w:sz w:val="24"/>
                                  <w:szCs w:val="24"/>
                                </w:rPr>
                              </w:pPr>
                              <w:r>
                                <w:rPr>
                                  <w:sz w:val="24"/>
                                  <w:szCs w:val="24"/>
                                </w:rPr>
                                <w:t>677001, Республика Саха (Якутия),</w:t>
                              </w:r>
                            </w:p>
                            <w:p>
                              <w:pPr>
                                <w:pStyle w:val="Standard"/>
                                <w:widowControl w:val="false"/>
                                <w:spacing w:lineRule="exact" w:line="283"/>
                                <w:ind w:left="-20" w:hanging="0"/>
                                <w:rPr>
                                  <w:sz w:val="24"/>
                                  <w:szCs w:val="24"/>
                                </w:rPr>
                              </w:pPr>
                              <w:r>
                                <w:rPr>
                                  <w:sz w:val="24"/>
                                  <w:szCs w:val="24"/>
                                </w:rPr>
                                <w:t>г. Якутск, ул. Федора Попова, д. 14</w:t>
                              </w:r>
                            </w:p>
                            <w:p>
                              <w:pPr>
                                <w:pStyle w:val="Standard"/>
                                <w:widowControl w:val="false"/>
                                <w:spacing w:lineRule="exact" w:line="283"/>
                                <w:ind w:left="-20" w:hanging="0"/>
                                <w:rPr>
                                  <w:sz w:val="24"/>
                                  <w:szCs w:val="24"/>
                                </w:rPr>
                              </w:pPr>
                              <w:r>
                                <w:rPr>
                                  <w:sz w:val="24"/>
                                  <w:szCs w:val="24"/>
                                </w:rPr>
                                <w:t>Почтовый адрес филиала: 678185, РС(Я),</w:t>
                              </w:r>
                            </w:p>
                            <w:p>
                              <w:pPr>
                                <w:pStyle w:val="Standard"/>
                                <w:widowControl w:val="false"/>
                                <w:spacing w:lineRule="exact" w:line="283"/>
                                <w:ind w:left="-20" w:hanging="0"/>
                                <w:rPr>
                                  <w:sz w:val="24"/>
                                  <w:szCs w:val="24"/>
                                </w:rPr>
                              </w:pPr>
                              <w:r>
                                <w:rPr>
                                  <w:sz w:val="24"/>
                                  <w:szCs w:val="24"/>
                                </w:rPr>
                                <w:t>Мирнинский р-он, п. Чернышевский,</w:t>
                              </w:r>
                            </w:p>
                            <w:p>
                              <w:pPr>
                                <w:pStyle w:val="Standard"/>
                                <w:widowControl w:val="false"/>
                                <w:spacing w:lineRule="exact" w:line="283"/>
                                <w:ind w:left="-20" w:hanging="0"/>
                                <w:rPr>
                                  <w:sz w:val="24"/>
                                  <w:szCs w:val="24"/>
                                </w:rPr>
                              </w:pPr>
                              <w:r>
                                <w:rPr>
                                  <w:sz w:val="24"/>
                                  <w:szCs w:val="24"/>
                                </w:rPr>
                                <w:t>КВГЭС им.Е.Н. Батенчука</w:t>
                              </w:r>
                            </w:p>
                            <w:p>
                              <w:pPr>
                                <w:pStyle w:val="Standard"/>
                                <w:widowControl w:val="false"/>
                                <w:spacing w:lineRule="exact" w:line="283"/>
                                <w:ind w:left="-20" w:hanging="0"/>
                                <w:rPr>
                                  <w:sz w:val="24"/>
                                  <w:szCs w:val="24"/>
                                </w:rPr>
                              </w:pPr>
                              <w:r>
                                <w:rPr>
                                  <w:sz w:val="24"/>
                                  <w:szCs w:val="24"/>
                                </w:rPr>
                                <w:t>ОГРН 1021401047260,</w:t>
                              </w:r>
                            </w:p>
                            <w:p>
                              <w:pPr>
                                <w:pStyle w:val="Standard"/>
                                <w:widowControl w:val="false"/>
                                <w:spacing w:lineRule="exact" w:line="283"/>
                                <w:ind w:left="-20" w:hanging="0"/>
                                <w:rPr>
                                  <w:sz w:val="24"/>
                                  <w:szCs w:val="24"/>
                                </w:rPr>
                              </w:pPr>
                              <w:r>
                                <w:rPr>
                                  <w:sz w:val="24"/>
                                  <w:szCs w:val="24"/>
                                </w:rPr>
                                <w:t>ИНН 1435028701/ КПП 775050001</w:t>
                              </w:r>
                            </w:p>
                            <w:p>
                              <w:pPr>
                                <w:pStyle w:val="Standard"/>
                                <w:widowControl w:val="false"/>
                                <w:spacing w:lineRule="exact" w:line="283"/>
                                <w:ind w:left="-20" w:hanging="0"/>
                                <w:rPr>
                                  <w:sz w:val="24"/>
                                  <w:szCs w:val="24"/>
                                </w:rPr>
                              </w:pPr>
                              <w:r>
                                <w:rPr>
                                  <w:sz w:val="24"/>
                                  <w:szCs w:val="24"/>
                                </w:rPr>
                                <w:t>КПП  филиала КВГЭС 143302002</w:t>
                              </w:r>
                            </w:p>
                            <w:p>
                              <w:pPr>
                                <w:pStyle w:val="Standard"/>
                                <w:widowControl w:val="false"/>
                                <w:spacing w:lineRule="exact" w:line="283"/>
                                <w:ind w:left="-20" w:hanging="0"/>
                                <w:rPr>
                                  <w:sz w:val="24"/>
                                  <w:szCs w:val="24"/>
                                </w:rPr>
                              </w:pPr>
                              <w:r>
                                <w:rPr>
                                  <w:sz w:val="24"/>
                                  <w:szCs w:val="24"/>
                                </w:rPr>
                                <w:t>р/с 40702810776000002894</w:t>
                              </w:r>
                            </w:p>
                            <w:p>
                              <w:pPr>
                                <w:pStyle w:val="Standard"/>
                                <w:widowControl w:val="false"/>
                                <w:spacing w:lineRule="exact" w:line="283"/>
                                <w:ind w:left="-20" w:hanging="0"/>
                                <w:rPr>
                                  <w:sz w:val="24"/>
                                  <w:szCs w:val="24"/>
                                </w:rPr>
                              </w:pPr>
                              <w:r>
                                <w:rPr>
                                  <w:sz w:val="24"/>
                                  <w:szCs w:val="24"/>
                                </w:rPr>
                                <w:t>Якутское отделение № 8603</w:t>
                              </w:r>
                            </w:p>
                            <w:p>
                              <w:pPr>
                                <w:pStyle w:val="Standard"/>
                                <w:widowControl w:val="false"/>
                                <w:spacing w:lineRule="exact" w:line="283"/>
                                <w:ind w:left="-20" w:hanging="0"/>
                                <w:rPr>
                                  <w:sz w:val="24"/>
                                  <w:szCs w:val="24"/>
                                </w:rPr>
                              </w:pPr>
                              <w:r>
                                <w:rPr>
                                  <w:sz w:val="24"/>
                                  <w:szCs w:val="24"/>
                                </w:rPr>
                                <w:t>ПАО Сбербанк</w:t>
                              </w:r>
                            </w:p>
                            <w:p>
                              <w:pPr>
                                <w:pStyle w:val="Standard"/>
                                <w:widowControl w:val="false"/>
                                <w:spacing w:lineRule="exact" w:line="283"/>
                                <w:ind w:left="-20" w:hanging="0"/>
                                <w:rPr>
                                  <w:sz w:val="24"/>
                                  <w:szCs w:val="24"/>
                                </w:rPr>
                              </w:pPr>
                              <w:r>
                                <w:rPr>
                                  <w:sz w:val="24"/>
                                  <w:szCs w:val="24"/>
                                </w:rPr>
                                <w:t>к/с 30101810400000000609</w:t>
                              </w:r>
                            </w:p>
                            <w:p>
                              <w:pPr>
                                <w:pStyle w:val="Standard"/>
                                <w:widowControl w:val="false"/>
                                <w:spacing w:lineRule="exact" w:line="283"/>
                                <w:ind w:left="-20" w:hanging="0"/>
                                <w:rPr>
                                  <w:sz w:val="24"/>
                                  <w:szCs w:val="24"/>
                                </w:rPr>
                              </w:pPr>
                              <w:r>
                                <w:rPr>
                                  <w:sz w:val="24"/>
                                  <w:szCs w:val="24"/>
                                </w:rPr>
                                <w:t>БИК 049805609</w:t>
                              </w:r>
                            </w:p>
                            <w:p>
                              <w:pPr>
                                <w:pStyle w:val="Standard"/>
                                <w:widowControl w:val="false"/>
                                <w:spacing w:lineRule="exact" w:line="283"/>
                                <w:ind w:left="-20" w:hanging="0"/>
                                <w:rPr>
                                  <w:sz w:val="24"/>
                                  <w:szCs w:val="24"/>
                                </w:rPr>
                              </w:pPr>
                              <w:r>
                                <w:rPr>
                                  <w:sz w:val="24"/>
                                  <w:szCs w:val="24"/>
                                </w:rPr>
                                <w:t>тел. (41136) 72844, 72235</w:t>
                              </w:r>
                            </w:p>
                            <w:p>
                              <w:pPr>
                                <w:pStyle w:val="Normal"/>
                                <w:widowControl w:val="false"/>
                                <w:ind w:left="-20" w:hanging="0"/>
                                <w:rPr>
                                  <w:sz w:val="24"/>
                                  <w:szCs w:val="24"/>
                                </w:rPr>
                              </w:pPr>
                              <w:r>
                                <w:rPr>
                                  <w:sz w:val="24"/>
                                  <w:szCs w:val="24"/>
                                </w:rPr>
                                <w:t xml:space="preserve">Эл. почта: </w:t>
                              </w:r>
                            </w:p>
                            <w:p>
                              <w:pPr>
                                <w:pStyle w:val="Normal"/>
                                <w:widowControl w:val="false"/>
                                <w:ind w:left="-20" w:hanging="0"/>
                                <w:rPr>
                                  <w:sz w:val="24"/>
                                  <w:szCs w:val="24"/>
                                </w:rPr>
                              </w:pPr>
                              <w:r>
                                <w:rPr>
                                  <w:sz w:val="24"/>
                                  <w:szCs w:val="24"/>
                                  <w:lang w:val="en-US"/>
                                </w:rPr>
                                <w:t>y</w:t>
                              </w:r>
                              <w:r>
                                <w:rPr>
                                  <w:sz w:val="24"/>
                                  <w:szCs w:val="24"/>
                                </w:rPr>
                                <w:t>akutia-kvges@rushydro.ru</w:t>
                              </w:r>
                            </w:p>
                          </w:tc>
                        </w:tr>
                        <w:tr>
                          <w:trPr/>
                          <w:tc>
                            <w:tcPr>
                              <w:tcW w:w="4573" w:type="dxa"/>
                              <w:tcBorders/>
                              <w:shd w:color="auto" w:fill="auto" w:val="clear"/>
                            </w:tcPr>
                            <w:p>
                              <w:pPr>
                                <w:pStyle w:val="Normal"/>
                                <w:widowControl w:val="false"/>
                                <w:rPr>
                                  <w:color w:val="2E74B5" w:themeColor="accent1" w:themeShade="bf"/>
                                  <w:sz w:val="24"/>
                                  <w:szCs w:val="24"/>
                                </w:rPr>
                              </w:pPr>
                              <w:r>
                                <w:rPr>
                                  <w:color w:val="2E74B5" w:themeColor="accent1" w:themeShade="bf"/>
                                  <w:sz w:val="24"/>
                                  <w:szCs w:val="24"/>
                                </w:rPr>
                              </w:r>
                            </w:p>
                          </w:tc>
                        </w:tr>
                        <w:tr>
                          <w:trPr/>
                          <w:tc>
                            <w:tcPr>
                              <w:tcW w:w="4573" w:type="dxa"/>
                              <w:tcBorders/>
                              <w:shd w:color="auto" w:fill="auto" w:val="clear"/>
                            </w:tcPr>
                            <w:p>
                              <w:pPr>
                                <w:pStyle w:val="Normal"/>
                                <w:widowControl w:val="false"/>
                                <w:rPr>
                                  <w:sz w:val="24"/>
                                  <w:szCs w:val="24"/>
                                </w:rPr>
                              </w:pPr>
                              <w:r>
                                <w:rPr>
                                  <w:sz w:val="24"/>
                                  <w:szCs w:val="24"/>
                                </w:rPr>
                              </w:r>
                            </w:p>
                          </w:tc>
                        </w:tr>
                      </w:tbl>
                      <w:p>
                        <w:pPr>
                          <w:pStyle w:val="Normal"/>
                          <w:widowControl w:val="false"/>
                          <w:rPr>
                            <w:sz w:val="24"/>
                            <w:szCs w:val="24"/>
                          </w:rPr>
                        </w:pPr>
                        <w:r>
                          <w:rPr>
                            <w:sz w:val="24"/>
                            <w:szCs w:val="24"/>
                          </w:rPr>
                        </w:r>
                      </w:p>
                    </w:tc>
                  </w:tr>
                </w:tbl>
                <w:p>
                  <w:pPr>
                    <w:pStyle w:val="Normal"/>
                    <w:widowControl w:val="false"/>
                    <w:rPr>
                      <w:sz w:val="24"/>
                      <w:szCs w:val="24"/>
                    </w:rPr>
                  </w:pPr>
                  <w:r>
                    <w:rPr>
                      <w:sz w:val="24"/>
                      <w:szCs w:val="24"/>
                    </w:rPr>
                  </w:r>
                </w:p>
              </w:tc>
            </w:tr>
            <w:tr>
              <w:trPr/>
              <w:tc>
                <w:tcPr>
                  <w:tcW w:w="4573" w:type="dxa"/>
                  <w:tcBorders/>
                  <w:shd w:color="auto" w:fill="auto" w:val="clear"/>
                </w:tcPr>
                <w:p>
                  <w:pPr>
                    <w:pStyle w:val="Normal"/>
                    <w:widowControl w:val="false"/>
                    <w:rPr>
                      <w:sz w:val="24"/>
                      <w:szCs w:val="24"/>
                    </w:rPr>
                  </w:pPr>
                  <w:r>
                    <w:rPr>
                      <w:sz w:val="24"/>
                      <w:szCs w:val="24"/>
                    </w:rPr>
                  </w:r>
                </w:p>
              </w:tc>
            </w:tr>
            <w:tr>
              <w:trPr/>
              <w:tc>
                <w:tcPr>
                  <w:tcW w:w="4573" w:type="dxa"/>
                  <w:tcBorders/>
                  <w:shd w:color="auto" w:fill="auto" w:val="clear"/>
                </w:tcPr>
                <w:p>
                  <w:pPr>
                    <w:pStyle w:val="Normal"/>
                    <w:widowControl w:val="false"/>
                    <w:rPr>
                      <w:sz w:val="24"/>
                      <w:szCs w:val="24"/>
                    </w:rPr>
                  </w:pPr>
                  <w:r>
                    <w:rPr>
                      <w:sz w:val="24"/>
                      <w:szCs w:val="24"/>
                    </w:rPr>
                  </w:r>
                </w:p>
              </w:tc>
            </w:tr>
          </w:tbl>
          <w:p>
            <w:pPr>
              <w:pStyle w:val="Normal"/>
              <w:widowControl w:val="false"/>
              <w:rPr>
                <w:sz w:val="24"/>
                <w:szCs w:val="24"/>
              </w:rPr>
            </w:pPr>
            <w:r>
              <w:rPr>
                <w:sz w:val="24"/>
                <w:szCs w:val="24"/>
              </w:rPr>
            </w:r>
          </w:p>
        </w:tc>
        <w:tc>
          <w:tcPr>
            <w:tcW w:w="4853" w:type="dxa"/>
            <w:tcBorders/>
            <w:shd w:color="auto" w:fill="FFFFFF" w:themeFill="background1" w:val="clear"/>
          </w:tcPr>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t>Юридический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ОКПО___________ОГРН 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ind w:firstLine="708"/>
              <w:rPr>
                <w:sz w:val="24"/>
                <w:szCs w:val="24"/>
              </w:rPr>
            </w:pPr>
            <w:r>
              <w:rPr>
                <w:sz w:val="24"/>
                <w:szCs w:val="24"/>
              </w:rPr>
              <w:t>(номер факса)</w:t>
            </w:r>
          </w:p>
        </w:tc>
      </w:tr>
      <w:tr>
        <w:trPr/>
        <w:tc>
          <w:tcPr>
            <w:tcW w:w="4927" w:type="dxa"/>
            <w:tcBorders/>
            <w:shd w:color="auto" w:fill="auto" w:val="clear"/>
          </w:tcPr>
          <w:p>
            <w:pPr>
              <w:pStyle w:val="Normal"/>
              <w:widowControl w:val="false"/>
              <w:rPr>
                <w:sz w:val="24"/>
                <w:szCs w:val="24"/>
              </w:rPr>
            </w:pPr>
            <w:r>
              <w:rPr>
                <w:sz w:val="24"/>
                <w:szCs w:val="24"/>
              </w:rPr>
            </w:r>
          </w:p>
          <w:p>
            <w:pPr>
              <w:pStyle w:val="Normal"/>
              <w:widowControl w:val="false"/>
              <w:rPr>
                <w:sz w:val="24"/>
                <w:szCs w:val="24"/>
              </w:rPr>
            </w:pPr>
            <w:r>
              <w:rPr>
                <w:sz w:val="24"/>
                <w:szCs w:val="24"/>
              </w:rPr>
              <w:t>Заместитель генерального директора</w:t>
            </w:r>
          </w:p>
          <w:p>
            <w:pPr>
              <w:pStyle w:val="Normal"/>
              <w:widowControl w:val="false"/>
              <w:rPr>
                <w:sz w:val="24"/>
                <w:szCs w:val="24"/>
                <w:highlight w:val="lightGray"/>
              </w:rPr>
            </w:pPr>
            <w:r>
              <w:rPr>
                <w:sz w:val="24"/>
                <w:szCs w:val="24"/>
              </w:rPr>
              <w:t xml:space="preserve">по управлению ресурсами </w:t>
            </w:r>
          </w:p>
        </w:tc>
        <w:tc>
          <w:tcPr>
            <w:tcW w:w="4853" w:type="dxa"/>
            <w:tcBorders/>
          </w:tcPr>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w:t>
            </w:r>
          </w:p>
        </w:tc>
      </w:tr>
      <w:tr>
        <w:trPr/>
        <w:tc>
          <w:tcPr>
            <w:tcW w:w="4927" w:type="dxa"/>
            <w:tcBorders/>
          </w:tcPr>
          <w:p>
            <w:pPr>
              <w:pStyle w:val="Normal"/>
              <w:widowControl w:val="false"/>
              <w:rPr>
                <w:sz w:val="24"/>
                <w:szCs w:val="24"/>
              </w:rPr>
            </w:pPr>
            <w:r>
              <w:rPr>
                <w:sz w:val="24"/>
                <w:szCs w:val="24"/>
              </w:rPr>
              <w:t>_______________ /Разживин Л.В./</w:t>
            </w:r>
          </w:p>
          <w:p>
            <w:pPr>
              <w:pStyle w:val="Normal"/>
              <w:widowControl w:val="false"/>
              <w:rPr>
                <w:sz w:val="24"/>
                <w:szCs w:val="24"/>
              </w:rPr>
            </w:pPr>
            <w:r>
              <w:rPr>
                <w:sz w:val="24"/>
                <w:szCs w:val="24"/>
              </w:rPr>
              <w:t>«_____» ___________202_ г.</w:t>
            </w:r>
          </w:p>
          <w:p>
            <w:pPr>
              <w:pStyle w:val="Normal"/>
              <w:widowControl w:val="false"/>
              <w:rPr>
                <w:sz w:val="24"/>
                <w:szCs w:val="24"/>
              </w:rPr>
            </w:pPr>
            <w:r>
              <w:rPr>
                <w:sz w:val="24"/>
                <w:szCs w:val="24"/>
              </w:rPr>
              <w:t>м.п.</w:t>
            </w:r>
          </w:p>
          <w:p>
            <w:pPr>
              <w:pStyle w:val="Normal"/>
              <w:widowControl w:val="false"/>
              <w:rPr>
                <w:sz w:val="24"/>
                <w:szCs w:val="24"/>
              </w:rPr>
            </w:pPr>
            <w:r>
              <w:rPr>
                <w:sz w:val="24"/>
                <w:szCs w:val="24"/>
              </w:rPr>
            </w:r>
          </w:p>
        </w:tc>
        <w:tc>
          <w:tcPr>
            <w:tcW w:w="4853" w:type="dxa"/>
            <w:tcBorders/>
          </w:tcPr>
          <w:p>
            <w:pPr>
              <w:pStyle w:val="Normal"/>
              <w:widowControl w:val="false"/>
              <w:rPr>
                <w:sz w:val="24"/>
                <w:szCs w:val="24"/>
              </w:rPr>
            </w:pPr>
            <w:r>
              <w:rPr>
                <w:sz w:val="24"/>
                <w:szCs w:val="24"/>
              </w:rPr>
              <w:t xml:space="preserve">_______________ / ______________/ </w:t>
            </w:r>
          </w:p>
          <w:p>
            <w:pPr>
              <w:pStyle w:val="Normal"/>
              <w:widowControl w:val="false"/>
              <w:rPr>
                <w:sz w:val="24"/>
                <w:szCs w:val="24"/>
              </w:rPr>
            </w:pPr>
            <w:r>
              <w:rPr>
                <w:sz w:val="24"/>
                <w:szCs w:val="24"/>
              </w:rPr>
              <w:t>«_____» _______________ 202_ г.</w:t>
            </w:r>
          </w:p>
          <w:p>
            <w:pPr>
              <w:pStyle w:val="Normal"/>
              <w:widowControl w:val="false"/>
              <w:rPr>
                <w:sz w:val="24"/>
                <w:szCs w:val="24"/>
              </w:rPr>
            </w:pPr>
            <w:r>
              <w:rPr>
                <w:sz w:val="24"/>
                <w:szCs w:val="24"/>
              </w:rPr>
              <w:t>м.п.</w:t>
            </w:r>
          </w:p>
          <w:p>
            <w:pPr>
              <w:pStyle w:val="Normal"/>
              <w:widowControl w:val="false"/>
              <w:rPr>
                <w:sz w:val="24"/>
                <w:szCs w:val="24"/>
              </w:rPr>
            </w:pPr>
            <w:r>
              <w:rPr>
                <w:sz w:val="24"/>
                <w:szCs w:val="24"/>
              </w:rPr>
            </w:r>
          </w:p>
        </w:tc>
      </w:tr>
    </w:tbl>
    <w:p>
      <w:pPr>
        <w:pStyle w:val="Normal"/>
        <w:rPr/>
      </w:pPr>
      <w:r>
        <w:rPr/>
      </w:r>
    </w:p>
    <w:tbl>
      <w:tblPr>
        <w:tblW w:w="978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927"/>
        <w:gridCol w:w="4853"/>
      </w:tblGrid>
      <w:tr>
        <w:trPr>
          <w:trHeight w:val="2545" w:hRule="atLeast"/>
        </w:trPr>
        <w:tc>
          <w:tcPr>
            <w:tcW w:w="4927" w:type="dxa"/>
            <w:tcBorders/>
          </w:tcPr>
          <w:p>
            <w:pPr>
              <w:pStyle w:val="Normal"/>
              <w:widowControl w:val="false"/>
              <w:rPr>
                <w:b/>
                <w:szCs w:val="24"/>
              </w:rPr>
            </w:pPr>
            <w:r>
              <w:rPr>
                <w:b/>
                <w:szCs w:val="24"/>
              </w:rPr>
              <w:t>Контактные лица:</w:t>
            </w:r>
          </w:p>
          <w:p>
            <w:pPr>
              <w:pStyle w:val="Normal"/>
              <w:widowControl w:val="false"/>
              <w:rPr/>
            </w:pPr>
            <w:r>
              <w:rPr/>
              <w:t>Отв.исполнитель по договору:</w:t>
            </w:r>
          </w:p>
          <w:p>
            <w:pPr>
              <w:pStyle w:val="Standard"/>
              <w:widowControl w:val="false"/>
              <w:spacing w:lineRule="exact" w:line="283"/>
              <w:rPr>
                <w:bCs/>
              </w:rPr>
            </w:pPr>
            <w:r>
              <w:rPr/>
              <w:t xml:space="preserve"> </w:t>
            </w:r>
            <w:r>
              <w:rPr>
                <w:bCs/>
              </w:rPr>
              <w:t>ведущий инженер Петрухина Г.А.,</w:t>
            </w:r>
          </w:p>
          <w:p>
            <w:pPr>
              <w:pStyle w:val="Standard"/>
              <w:widowControl w:val="false"/>
              <w:spacing w:lineRule="exact" w:line="283"/>
              <w:rPr>
                <w:bCs/>
              </w:rPr>
            </w:pPr>
            <w:r>
              <w:rPr>
                <w:bCs/>
              </w:rPr>
              <w:t>тел. (41136) 72235, 78378</w:t>
            </w:r>
          </w:p>
          <w:p>
            <w:pPr>
              <w:pStyle w:val="Normal"/>
              <w:widowControl w:val="false"/>
              <w:rPr/>
            </w:pPr>
            <w:r>
              <w:rPr>
                <w:i/>
                <w:color w:val="0000FF"/>
                <w:lang w:val="en-US"/>
              </w:rPr>
              <w:t>petrukhina</w:t>
            </w:r>
            <w:r>
              <w:rPr>
                <w:i/>
                <w:color w:val="0000FF"/>
              </w:rPr>
              <w:t>ga@</w:t>
            </w:r>
            <w:r>
              <w:rPr>
                <w:i/>
                <w:color w:val="0000FF"/>
                <w:lang w:val="en-US"/>
              </w:rPr>
              <w:t>rushydro</w:t>
            </w:r>
            <w:r>
              <w:rPr>
                <w:i/>
                <w:color w:val="0000FF"/>
              </w:rPr>
              <w:t>.</w:t>
            </w:r>
            <w:r>
              <w:rPr>
                <w:i/>
                <w:color w:val="0000FF"/>
                <w:lang w:val="en-US"/>
              </w:rPr>
              <w:t>ru</w:t>
            </w:r>
          </w:p>
          <w:p>
            <w:pPr>
              <w:pStyle w:val="Normal"/>
              <w:widowControl w:val="false"/>
              <w:rPr>
                <w:szCs w:val="24"/>
              </w:rPr>
            </w:pPr>
            <w:r>
              <w:rPr>
                <w:szCs w:val="24"/>
              </w:rPr>
              <w:t>Отв.по общим вопросам:</w:t>
            </w:r>
          </w:p>
          <w:p>
            <w:pPr>
              <w:pStyle w:val="Normal"/>
              <w:widowControl w:val="false"/>
              <w:rPr>
                <w:szCs w:val="24"/>
              </w:rPr>
            </w:pPr>
            <w:r>
              <w:rPr>
                <w:szCs w:val="24"/>
              </w:rPr>
              <w:t>Заместитель директора КВГЭС по</w:t>
            </w:r>
          </w:p>
          <w:p>
            <w:pPr>
              <w:pStyle w:val="Normal"/>
              <w:widowControl w:val="false"/>
              <w:rPr>
                <w:szCs w:val="24"/>
              </w:rPr>
            </w:pPr>
            <w:r>
              <w:rPr>
                <w:szCs w:val="24"/>
              </w:rPr>
              <w:t xml:space="preserve"> </w:t>
            </w:r>
            <w:r>
              <w:rPr>
                <w:szCs w:val="24"/>
              </w:rPr>
              <w:t>управлению ресурсами</w:t>
            </w:r>
          </w:p>
          <w:p>
            <w:pPr>
              <w:pStyle w:val="Normal"/>
              <w:widowControl w:val="false"/>
              <w:rPr>
                <w:szCs w:val="24"/>
              </w:rPr>
            </w:pPr>
            <w:r>
              <w:rPr>
                <w:szCs w:val="24"/>
              </w:rPr>
              <w:t>Гончарова М.В.</w:t>
            </w:r>
          </w:p>
          <w:p>
            <w:pPr>
              <w:pStyle w:val="Normal"/>
              <w:widowControl w:val="false"/>
              <w:rPr>
                <w:szCs w:val="24"/>
              </w:rPr>
            </w:pPr>
            <w:r>
              <w:rPr>
                <w:color w:val="2E74B5" w:themeColor="accent1" w:themeShade="bf"/>
                <w:szCs w:val="24"/>
              </w:rPr>
              <w:t>goncharovamav@rushydro.ru</w:t>
            </w:r>
          </w:p>
        </w:tc>
        <w:tc>
          <w:tcPr>
            <w:tcW w:w="4853" w:type="dxa"/>
            <w:tcBorders/>
          </w:tcPr>
          <w:p>
            <w:pPr>
              <w:pStyle w:val="Normal"/>
              <w:widowControl w:val="false"/>
              <w:rPr>
                <w:b/>
                <w:szCs w:val="24"/>
              </w:rPr>
            </w:pPr>
            <w:r>
              <w:rPr>
                <w:b/>
                <w:szCs w:val="24"/>
              </w:rPr>
              <w:t>Контактные лица:</w:t>
            </w:r>
          </w:p>
          <w:p>
            <w:pPr>
              <w:pStyle w:val="Normal"/>
              <w:widowControl w:val="false"/>
              <w:rPr>
                <w:szCs w:val="24"/>
              </w:rPr>
            </w:pPr>
            <w:r>
              <w:rPr>
                <w:szCs w:val="24"/>
              </w:rPr>
              <w:t>Отв.исполнитель по договору:</w:t>
            </w:r>
          </w:p>
          <w:p>
            <w:pPr>
              <w:pStyle w:val="Normal"/>
              <w:widowControl w:val="false"/>
              <w:rPr>
                <w:szCs w:val="24"/>
              </w:rPr>
            </w:pPr>
            <w:r>
              <w:rPr>
                <w:szCs w:val="24"/>
              </w:rPr>
            </w:r>
          </w:p>
          <w:p>
            <w:pPr>
              <w:pStyle w:val="Normal"/>
              <w:widowControl w:val="false"/>
              <w:rPr>
                <w:szCs w:val="24"/>
              </w:rPr>
            </w:pPr>
            <w:r>
              <w:rPr>
                <w:szCs w:val="24"/>
              </w:rPr>
            </w:r>
          </w:p>
          <w:p>
            <w:pPr>
              <w:pStyle w:val="Normal"/>
              <w:widowControl w:val="false"/>
              <w:rPr>
                <w:szCs w:val="24"/>
              </w:rPr>
            </w:pPr>
            <w:r>
              <w:rPr>
                <w:szCs w:val="24"/>
              </w:rPr>
              <w:t>Отв.по вопросам транспортной логистики:</w:t>
            </w:r>
          </w:p>
          <w:p>
            <w:pPr>
              <w:pStyle w:val="Normal"/>
              <w:widowControl w:val="false"/>
              <w:rPr>
                <w:szCs w:val="24"/>
              </w:rPr>
            </w:pPr>
            <w:r>
              <w:rPr>
                <w:szCs w:val="24"/>
              </w:rPr>
            </w:r>
          </w:p>
          <w:p>
            <w:pPr>
              <w:pStyle w:val="Normal"/>
              <w:widowControl w:val="false"/>
              <w:rPr>
                <w:szCs w:val="24"/>
              </w:rPr>
            </w:pPr>
            <w:r>
              <w:rPr>
                <w:szCs w:val="24"/>
              </w:rPr>
            </w:r>
          </w:p>
          <w:p>
            <w:pPr>
              <w:pStyle w:val="Normal"/>
              <w:widowControl w:val="false"/>
              <w:rPr>
                <w:szCs w:val="24"/>
              </w:rPr>
            </w:pPr>
            <w:r>
              <w:rPr>
                <w:szCs w:val="24"/>
              </w:rPr>
              <w:t>Отв.по общим вопросам:</w:t>
            </w:r>
          </w:p>
          <w:p>
            <w:pPr>
              <w:pStyle w:val="Normal"/>
              <w:widowControl w:val="false"/>
              <w:rPr>
                <w:szCs w:val="24"/>
              </w:rPr>
            </w:pPr>
            <w:r>
              <w:rPr>
                <w:szCs w:val="24"/>
              </w:rPr>
            </w:r>
          </w:p>
        </w:tc>
      </w:tr>
    </w:tbl>
    <w:p>
      <w:pPr>
        <w:pStyle w:val="Normal"/>
        <w:rPr/>
      </w:pPr>
      <w:r>
        <w:rPr/>
      </w:r>
    </w:p>
    <w:sectPr>
      <w:footerReference w:type="default" r:id="rId6"/>
      <w:footnotePr>
        <w:numFmt w:val="decimal"/>
      </w:footnotePr>
      <w:type w:val="nextPage"/>
      <w:pgSz w:w="11906" w:h="16838"/>
      <w:pgMar w:left="1560" w:right="851" w:gutter="0" w:header="0" w:top="1134" w:footer="709" w:bottom="766"/>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Consolas">
    <w:charset w:val="01"/>
    <w:family w:val="roman"/>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14"/>
        </w:rPr>
        <w:footnoteRef/>
      </w:r>
      <w:r>
        <w:rPr/>
        <w:t xml:space="preserve"> </w:t>
      </w:r>
      <w:r>
        <w:rPr/>
        <w:t>В случае если Поставщик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3">
    <w:p>
      <w:pPr>
        <w:pStyle w:val="FootnoteText"/>
        <w:rPr/>
      </w:pPr>
      <w:r>
        <w:rPr>
          <w:rStyle w:val="Style14"/>
        </w:rPr>
        <w:footnoteRef/>
      </w:r>
      <w:r>
        <w:rPr/>
        <w:t xml:space="preserve"> </w:t>
      </w:r>
      <w:r>
        <w:rPr/>
        <w:t>В случае если Поставщик не освобожден от обязанностей налогоплательщика НДС в соответствии с п. 1 ст. 145 НК РФ и применяет льготную ставку НДС 5%.</w:t>
      </w:r>
    </w:p>
  </w:footnote>
  <w:footnote w:id="4">
    <w:p>
      <w:pPr>
        <w:pStyle w:val="FootnoteText"/>
        <w:rPr/>
      </w:pPr>
      <w:r>
        <w:rPr>
          <w:rStyle w:val="Style14"/>
        </w:rPr>
        <w:footnoteRef/>
      </w:r>
      <w:r>
        <w:rPr/>
        <w:t xml:space="preserve"> </w:t>
      </w:r>
      <w:r>
        <w:rPr/>
        <w:t>В случае если Поставщик не освобожден от обязанностей налогоплательщика НДС в соответствии c п.1 ст. 145 НК РФ и применяет льготную ставку НДС 7 %.</w:t>
      </w:r>
    </w:p>
  </w:footnote>
  <w:footnote w:id="5">
    <w:p>
      <w:pPr>
        <w:pStyle w:val="FootnoteText"/>
        <w:rPr/>
      </w:pPr>
      <w:r>
        <w:rPr>
          <w:rStyle w:val="Style14"/>
        </w:rPr>
        <w:footnoteRef/>
      </w:r>
      <w:r>
        <w:rPr/>
        <w:t xml:space="preserve"> </w:t>
      </w:r>
      <w:r>
        <w:rPr/>
        <w:t>В случае если Поставщик освобожден от обязанностей налогоплательщика НДС в соответствии c п.1 ст. 145 НК РФ.</w:t>
      </w:r>
    </w:p>
  </w:footnote>
  <w:footnote w:id="6">
    <w:p>
      <w:pPr>
        <w:pStyle w:val="FootnoteText"/>
        <w:rPr/>
      </w:pPr>
      <w:r>
        <w:rPr>
          <w:rStyle w:val="Style14"/>
        </w:rPr>
        <w:footnoteRef/>
      </w:r>
      <w:r>
        <w:rPr/>
        <w:t xml:space="preserve"> </w:t>
      </w:r>
      <w:r>
        <w:rPr>
          <w:i/>
        </w:rPr>
        <w:t>Исключается из Договора в случае, если Поставщиком применяется упрощенная система налогообложения</w:t>
      </w:r>
    </w:p>
  </w:footnote>
  <w:footnote w:id="7">
    <w:p>
      <w:pPr>
        <w:pStyle w:val="Annotationtext"/>
        <w:jc w:val="both"/>
        <w:rPr>
          <w:i/>
          <w:i/>
        </w:rPr>
      </w:pPr>
      <w:r>
        <w:rPr>
          <w:rStyle w:val="Style14"/>
        </w:rPr>
        <w:footnoteRef/>
      </w:r>
      <w:r>
        <w:rPr/>
        <w:t xml:space="preserve"> </w:t>
      </w:r>
      <w:r>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708"/>
        </w:tabs>
        <w:ind w:left="1708" w:hanging="432"/>
      </w:pPr>
      <w:rPr>
        <w:sz w:val="24"/>
        <w:i w:val="false"/>
        <w:b w:val="false"/>
        <w:szCs w:val="24"/>
        <w:color w:val="auto"/>
      </w:rPr>
    </w:lvl>
    <w:lvl w:ilvl="2">
      <w:start w:val="1"/>
      <w:numFmt w:val="decimal"/>
      <w:lvlText w:val="%1.%2.%3."/>
      <w:lvlJc w:val="left"/>
      <w:pPr>
        <w:tabs>
          <w:tab w:val="num" w:pos="1571"/>
        </w:tabs>
        <w:ind w:left="1355" w:hanging="504"/>
      </w:pPr>
      <w:rPr>
        <w:b w:val="false"/>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2"/>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4123"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5"/>
      <w:numFmt w:val="decimal"/>
      <w:lvlText w:val="%1."/>
      <w:lvlJc w:val="left"/>
      <w:pPr>
        <w:tabs>
          <w:tab w:val="num" w:pos="0"/>
        </w:tabs>
        <w:ind w:left="360" w:hanging="360"/>
      </w:pPr>
      <w:rPr/>
    </w:lvl>
    <w:lvl w:ilvl="1">
      <w:start w:val="5"/>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2">
    <w:lvl w:ilvl="0">
      <w:start w:val="6"/>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sz w:val="24"/>
        <w:i w:val="false"/>
        <w:szCs w:val="24"/>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56"/>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70763"/>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Заголовок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uiPriority w:val="99"/>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Название Знак"/>
    <w:qFormat/>
    <w:rsid w:val="0095682b"/>
    <w:rPr>
      <w:b/>
      <w:bCs/>
      <w:sz w:val="24"/>
      <w:szCs w:val="24"/>
    </w:rPr>
  </w:style>
  <w:style w:type="character" w:styleId="Style18" w:customStyle="1">
    <w:name w:val="Текст Знак"/>
    <w:basedOn w:val="DefaultParagraphFont"/>
    <w:link w:val="PlainText"/>
    <w:semiHidden/>
    <w:qFormat/>
    <w:rsid w:val="00004894"/>
    <w:rPr>
      <w:rFonts w:ascii="Consolas" w:hAnsi="Consolas"/>
      <w:sz w:val="21"/>
      <w:szCs w:val="21"/>
    </w:rPr>
  </w:style>
  <w:style w:type="character" w:styleId="Style19" w:customStyle="1">
    <w:name w:val="Абзац списка Знак"/>
    <w:basedOn w:val="DefaultParagraphFont"/>
    <w:link w:val="ListParagraph"/>
    <w:qFormat/>
    <w:locked/>
    <w:rsid w:val="004100f5"/>
    <w:rPr/>
  </w:style>
  <w:style w:type="character" w:styleId="PlaceholderText">
    <w:name w:val="Placeholder Text"/>
    <w:basedOn w:val="DefaultParagraphFont"/>
    <w:uiPriority w:val="99"/>
    <w:semiHidden/>
    <w:qFormat/>
    <w:rsid w:val="00853e72"/>
    <w:rPr>
      <w:color w:val="808080"/>
    </w:rPr>
  </w:style>
  <w:style w:type="character" w:styleId="Style20" w:customStyle="1">
    <w:name w:val="Символ концевой сноски"/>
    <w:qFormat/>
    <w:rPr/>
  </w:style>
  <w:style w:type="character" w:styleId="EndnoteReference">
    <w:name w:val="Endnote Reference"/>
    <w:rPr>
      <w:vertAlign w:val="superscript"/>
    </w:rPr>
  </w:style>
  <w:style w:type="paragraph" w:styleId="Style2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2">
    <w:name w:val="Указатель"/>
    <w:basedOn w:val="Normal"/>
    <w:qFormat/>
    <w:pPr>
      <w:suppressLineNumbers/>
    </w:pPr>
    <w:rPr>
      <w:rFonts w:cs="Arial Unicode MS"/>
    </w:rPr>
  </w:style>
  <w:style w:type="paragraph" w:styleId="Title">
    <w:name w:val="Title"/>
    <w:basedOn w:val="Normal"/>
    <w:next w:val="BodyText"/>
    <w:link w:val="Style7"/>
    <w:qFormat/>
    <w:rsid w:val="00a264b0"/>
    <w:pPr>
      <w:jc w:val="center"/>
    </w:pPr>
    <w:rPr>
      <w:b/>
      <w:bCs/>
      <w:sz w:val="24"/>
      <w:szCs w:val="24"/>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
    <w:name w:val="index heading"/>
    <w:basedOn w:val="Normal"/>
    <w:qFormat/>
    <w:pPr>
      <w:suppressLineNumbers/>
    </w:pPr>
    <w:rPr>
      <w:rFonts w:cs="Arial Unicode MS"/>
    </w:rPr>
  </w:style>
  <w:style w:type="paragraph" w:styleId="Style23"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4" w:customStyle="1">
    <w:name w:val="Колонтитул"/>
    <w:basedOn w:val="Normal"/>
    <w:qFormat/>
    <w:pPr/>
    <w:rPr/>
  </w:style>
  <w:style w:type="paragraph" w:styleId="Footer">
    <w:name w:val="Footer"/>
    <w:basedOn w:val="Normal"/>
    <w:link w:val="Style16"/>
    <w:uiPriority w:val="99"/>
    <w:rsid w:val="008b02a1"/>
    <w:pPr>
      <w:tabs>
        <w:tab w:val="clear" w:pos="709"/>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9"/>
    <w:qFormat/>
    <w:rsid w:val="00ec6e7d"/>
    <w:pPr>
      <w:spacing w:before="0" w:after="0"/>
      <w:ind w:left="720" w:hanging="0"/>
      <w:contextualSpacing/>
    </w:pPr>
    <w:rPr/>
  </w:style>
  <w:style w:type="paragraph" w:styleId="Style25"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6" w:customStyle="1">
    <w:name w:val="Подпункт договора"/>
    <w:basedOn w:val="Normal"/>
    <w:qFormat/>
    <w:rsid w:val="00d31bfd"/>
    <w:pPr>
      <w:widowControl/>
      <w:tabs>
        <w:tab w:val="clear" w:pos="709"/>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odyTextIndent">
    <w:name w:val="Body Text Indent"/>
    <w:basedOn w:val="Normal"/>
    <w:link w:val="Style11"/>
    <w:rsid w:val="00e00bca"/>
    <w:pPr>
      <w:spacing w:before="0" w:after="120"/>
      <w:ind w:left="283" w:hanging="0"/>
    </w:pPr>
    <w:rPr/>
  </w:style>
  <w:style w:type="paragraph" w:styleId="Style27"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9"/>
        <w:tab w:val="center" w:pos="4677" w:leader="none"/>
        <w:tab w:val="right" w:pos="9355" w:leader="none"/>
      </w:tabs>
    </w:pPr>
    <w:rPr/>
  </w:style>
  <w:style w:type="paragraph" w:styleId="Style28" w:customStyle="1">
    <w:name w:val="Пункт договора"/>
    <w:basedOn w:val="Normal"/>
    <w:qFormat/>
    <w:rsid w:val="00e65842"/>
    <w:pPr>
      <w:jc w:val="both"/>
    </w:pPr>
    <w:rPr>
      <w:rFonts w:ascii="Arial" w:hAnsi="Arial"/>
    </w:rPr>
  </w:style>
  <w:style w:type="paragraph" w:styleId="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1"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cs="Calibri" w:eastAsia="Times New Roman"/>
      <w:color w:val="auto"/>
      <w:kern w:val="0"/>
      <w:sz w:val="22"/>
      <w:szCs w:val="20"/>
      <w:lang w:val="ru-RU" w:eastAsia="ru-RU" w:bidi="ar-SA"/>
    </w:rPr>
  </w:style>
  <w:style w:type="paragraph" w:styleId="NormalWeb">
    <w:name w:val="Normal (Web)"/>
    <w:basedOn w:val="Normal"/>
    <w:uiPriority w:val="99"/>
    <w:unhideWhenUsed/>
    <w:qFormat/>
    <w:rsid w:val="003e7f9e"/>
    <w:pPr>
      <w:widowControl/>
      <w:spacing w:beforeAutospacing="1" w:afterAutospacing="1"/>
    </w:pPr>
    <w:rPr>
      <w:sz w:val="24"/>
      <w:szCs w:val="24"/>
    </w:rPr>
  </w:style>
  <w:style w:type="paragraph" w:styleId="PlainText">
    <w:name w:val="Plain Text"/>
    <w:basedOn w:val="Normal"/>
    <w:link w:val="Style18"/>
    <w:semiHidden/>
    <w:unhideWhenUsed/>
    <w:qFormat/>
    <w:rsid w:val="00004894"/>
    <w:pPr/>
    <w:rPr>
      <w:rFonts w:ascii="Consolas" w:hAnsi="Consolas"/>
      <w:sz w:val="21"/>
      <w:szCs w:val="21"/>
    </w:rPr>
  </w:style>
  <w:style w:type="paragraph" w:styleId="Standard" w:customStyle="1">
    <w:name w:val="Standard"/>
    <w:qFormat/>
    <w:rsid w:val="000a121a"/>
    <w:pPr>
      <w:widowControl w:val="false"/>
      <w:suppressAutoHyphens w:val="true"/>
      <w:bidi w:val="0"/>
      <w:spacing w:before="0" w:after="0"/>
      <w:jc w:val="left"/>
      <w:textAlignment w:val="baseline"/>
    </w:pPr>
    <w:rPr>
      <w:rFonts w:ascii="Times New Roman" w:hAnsi="Times New Roman" w:eastAsia="Times New Roman" w:cs="Times New Roman"/>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e">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https://tender.lot-online.ru/" TargetMode="External"/><Relationship Id="rId6" Type="http://schemas.openxmlformats.org/officeDocument/2006/relationships/footer" Target="footer1.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A2823F-65DA-45F8-A9ED-0EBFF583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Application>AlterOffice/3.4.0.9$Linux_X86_64 LibreOffice_project/b8daf9e823b1a5463a2f48435ddc2e8696e7d4fc</Application>
  <AppVersion>15.0000</AppVersion>
  <Pages>18</Pages>
  <Words>7217</Words>
  <Characters>51108</Characters>
  <CharactersWithSpaces>58042</CharactersWithSpaces>
  <Paragraphs>321</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2025-11-18T06:06:00Z</dcterms:created>
  <dc:creator>tsypilev_ag</dc:creator>
  <dc:description/>
  <dc:language>ru-RU</dc:language>
  <cp:lastModifiedBy/>
  <cp:lastPrinted>2025-11-18T06:13:00Z</cp:lastPrinted>
  <dcterms:modified xsi:type="dcterms:W3CDTF">2026-06-29T18:43:22Z</dcterms:modified>
  <cp:revision>11</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